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C47F5" w14:textId="64079C3F" w:rsidR="00AA3FAE" w:rsidRPr="0035034A" w:rsidRDefault="00AA3FAE" w:rsidP="00AA3FAE">
      <w:pPr>
        <w:tabs>
          <w:tab w:val="right" w:pos="9630"/>
        </w:tabs>
        <w:overflowPunct w:val="0"/>
        <w:autoSpaceDE w:val="0"/>
        <w:autoSpaceDN w:val="0"/>
        <w:adjustRightInd w:val="0"/>
        <w:textAlignment w:val="baseline"/>
        <w:rPr>
          <w:rFonts w:asciiTheme="minorEastAsia" w:hAnsiTheme="minorEastAsia" w:cs="Times New Roman"/>
          <w:b/>
          <w:bCs/>
          <w:kern w:val="0"/>
          <w:sz w:val="24"/>
          <w:szCs w:val="18"/>
          <w:lang w:val="en-GB"/>
        </w:rPr>
      </w:pPr>
      <w:r w:rsidRPr="00A26D85">
        <w:rPr>
          <w:rFonts w:ascii="Arial" w:eastAsia="Dotum" w:hAnsi="Arial" w:cs="Times New Roman"/>
          <w:b/>
          <w:bCs/>
          <w:noProof/>
          <w:kern w:val="0"/>
          <w:sz w:val="24"/>
          <w:szCs w:val="18"/>
          <w:lang w:val="en-GB"/>
        </w:rPr>
        <mc:AlternateContent>
          <mc:Choice Requires="wps">
            <w:drawing>
              <wp:anchor distT="0" distB="0" distL="114300" distR="114300" simplePos="0" relativeHeight="251659264" behindDoc="0" locked="1" layoutInCell="1" allowOverlap="1" wp14:anchorId="6E99FEAE" wp14:editId="5EDFFABE">
                <wp:simplePos x="0" y="0"/>
                <wp:positionH relativeFrom="column">
                  <wp:posOffset>0</wp:posOffset>
                </wp:positionH>
                <wp:positionV relativeFrom="paragraph">
                  <wp:posOffset>0</wp:posOffset>
                </wp:positionV>
                <wp:extent cx="635" cy="635"/>
                <wp:effectExtent l="9525" t="9525" r="8890" b="8890"/>
                <wp:wrapNone/>
                <wp:docPr id="2" name="任意多边形: 形状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589F0B" id="任意多边形: 形状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A26D85">
        <w:rPr>
          <w:rFonts w:ascii="Arial" w:eastAsia="Dotum" w:hAnsi="Arial" w:cs="Times New Roman"/>
          <w:b/>
          <w:bCs/>
          <w:kern w:val="0"/>
          <w:sz w:val="24"/>
          <w:szCs w:val="18"/>
          <w:lang w:val="en-GB"/>
        </w:rPr>
        <w:t>3GPP TSG-RAN WG3 Meeting #11</w:t>
      </w:r>
      <w:r w:rsidR="003C333E">
        <w:rPr>
          <w:rFonts w:ascii="Arial" w:eastAsia="Dotum" w:hAnsi="Arial" w:cs="Times New Roman"/>
          <w:b/>
          <w:bCs/>
          <w:kern w:val="0"/>
          <w:sz w:val="24"/>
          <w:szCs w:val="18"/>
          <w:lang w:val="en-GB"/>
        </w:rPr>
        <w:t>7</w:t>
      </w:r>
      <w:r w:rsidRPr="00A26D85">
        <w:rPr>
          <w:rFonts w:ascii="Arial" w:eastAsia="Dotum" w:hAnsi="Arial" w:cs="Times New Roman"/>
          <w:b/>
          <w:bCs/>
          <w:kern w:val="0"/>
          <w:sz w:val="24"/>
          <w:szCs w:val="18"/>
          <w:lang w:val="en-GB"/>
        </w:rPr>
        <w:t>-e</w:t>
      </w:r>
      <w:r w:rsidRPr="00A26D85">
        <w:rPr>
          <w:rFonts w:ascii="Arial" w:eastAsia="Dotum" w:hAnsi="Arial" w:cs="Times New Roman"/>
          <w:b/>
          <w:bCs/>
          <w:kern w:val="0"/>
          <w:sz w:val="24"/>
          <w:szCs w:val="18"/>
          <w:lang w:val="en-GB"/>
        </w:rPr>
        <w:tab/>
        <w:t>R3-</w:t>
      </w:r>
      <w:r w:rsidR="00B26539" w:rsidRPr="00B26539">
        <w:rPr>
          <w:rFonts w:ascii="Arial" w:eastAsia="Dotum" w:hAnsi="Arial" w:cs="Times New Roman"/>
          <w:b/>
          <w:bCs/>
          <w:kern w:val="0"/>
          <w:sz w:val="24"/>
          <w:szCs w:val="18"/>
          <w:lang w:val="en-GB"/>
        </w:rPr>
        <w:t>22</w:t>
      </w:r>
      <w:r w:rsidR="00A35B56">
        <w:rPr>
          <w:rFonts w:asciiTheme="minorEastAsia" w:hAnsiTheme="minorEastAsia" w:cs="Times New Roman"/>
          <w:b/>
          <w:bCs/>
          <w:kern w:val="0"/>
          <w:sz w:val="24"/>
          <w:szCs w:val="18"/>
          <w:lang w:val="en-GB"/>
        </w:rPr>
        <w:t>4430</w:t>
      </w:r>
    </w:p>
    <w:p w14:paraId="4BF14776" w14:textId="14049783" w:rsidR="00AA3FAE" w:rsidRPr="00AA3FAE" w:rsidRDefault="00A26D85" w:rsidP="00AA3FAE">
      <w:pPr>
        <w:tabs>
          <w:tab w:val="right" w:pos="9630"/>
        </w:tabs>
        <w:overflowPunct w:val="0"/>
        <w:autoSpaceDE w:val="0"/>
        <w:autoSpaceDN w:val="0"/>
        <w:adjustRightInd w:val="0"/>
        <w:jc w:val="left"/>
        <w:textAlignment w:val="baseline"/>
        <w:rPr>
          <w:rFonts w:ascii="Arial" w:eastAsia="宋体" w:hAnsi="Arial" w:cs="黑体"/>
          <w:b/>
          <w:bCs/>
          <w:kern w:val="0"/>
          <w:sz w:val="24"/>
          <w:lang w:val="en-GB"/>
        </w:rPr>
      </w:pPr>
      <w:r>
        <w:rPr>
          <w:rFonts w:ascii="Arial" w:eastAsia="宋体" w:hAnsi="Arial" w:cs="黑体"/>
          <w:b/>
          <w:bCs/>
          <w:noProof/>
          <w:kern w:val="0"/>
          <w:sz w:val="24"/>
        </w:rPr>
        <w:t>Online</w:t>
      </w:r>
      <w:r w:rsidR="00AA3FAE" w:rsidRPr="00A26D85">
        <w:rPr>
          <w:rFonts w:ascii="Arial" w:eastAsia="宋体" w:hAnsi="Arial" w:cs="黑体"/>
          <w:b/>
          <w:bCs/>
          <w:noProof/>
          <w:kern w:val="0"/>
          <w:sz w:val="24"/>
        </w:rPr>
        <w:t xml:space="preserve">, </w:t>
      </w:r>
      <w:r w:rsidR="003C333E">
        <w:rPr>
          <w:rFonts w:ascii="Arial" w:eastAsia="宋体" w:hAnsi="Arial" w:cs="黑体"/>
          <w:b/>
          <w:bCs/>
          <w:noProof/>
          <w:kern w:val="0"/>
          <w:sz w:val="24"/>
        </w:rPr>
        <w:t>15</w:t>
      </w:r>
      <w:r w:rsidR="00571FC2">
        <w:rPr>
          <w:rFonts w:ascii="Arial" w:eastAsia="宋体" w:hAnsi="Arial" w:cs="黑体" w:hint="eastAsia"/>
          <w:b/>
          <w:bCs/>
          <w:noProof/>
          <w:kern w:val="0"/>
          <w:sz w:val="24"/>
          <w:vertAlign w:val="superscript"/>
        </w:rPr>
        <w:t>t</w:t>
      </w:r>
      <w:r w:rsidR="003C333E">
        <w:rPr>
          <w:rFonts w:ascii="Arial" w:eastAsia="宋体" w:hAnsi="Arial" w:cs="黑体"/>
          <w:b/>
          <w:bCs/>
          <w:noProof/>
          <w:kern w:val="0"/>
          <w:sz w:val="24"/>
          <w:vertAlign w:val="superscript"/>
        </w:rPr>
        <w:t>h</w:t>
      </w:r>
      <w:r w:rsidR="00384956">
        <w:rPr>
          <w:rFonts w:ascii="Arial" w:eastAsia="宋体" w:hAnsi="Arial" w:cs="黑体"/>
          <w:b/>
          <w:bCs/>
          <w:noProof/>
          <w:kern w:val="0"/>
          <w:sz w:val="24"/>
        </w:rPr>
        <w:t xml:space="preserve"> </w:t>
      </w:r>
      <w:r w:rsidR="00AA3FAE" w:rsidRPr="00A26D85">
        <w:rPr>
          <w:rFonts w:ascii="Arial" w:eastAsia="宋体" w:hAnsi="Arial" w:cs="黑体"/>
          <w:b/>
          <w:bCs/>
          <w:noProof/>
          <w:kern w:val="0"/>
          <w:sz w:val="24"/>
        </w:rPr>
        <w:t xml:space="preserve">– </w:t>
      </w:r>
      <w:r w:rsidR="003C333E">
        <w:rPr>
          <w:rFonts w:ascii="Arial" w:eastAsia="宋体" w:hAnsi="Arial" w:cs="黑体"/>
          <w:b/>
          <w:bCs/>
          <w:noProof/>
          <w:kern w:val="0"/>
          <w:sz w:val="24"/>
        </w:rPr>
        <w:t>24</w:t>
      </w:r>
      <w:r w:rsidR="003C333E">
        <w:rPr>
          <w:rFonts w:ascii="Arial" w:eastAsia="宋体" w:hAnsi="Arial" w:cs="黑体"/>
          <w:b/>
          <w:bCs/>
          <w:noProof/>
          <w:kern w:val="0"/>
          <w:sz w:val="24"/>
          <w:vertAlign w:val="superscript"/>
        </w:rPr>
        <w:t>th</w:t>
      </w:r>
      <w:r w:rsidR="00AA3FAE" w:rsidRPr="00A26D85">
        <w:rPr>
          <w:rFonts w:ascii="Arial" w:eastAsia="宋体" w:hAnsi="Arial" w:cs="黑体"/>
          <w:b/>
          <w:bCs/>
          <w:noProof/>
          <w:kern w:val="0"/>
          <w:sz w:val="24"/>
        </w:rPr>
        <w:t xml:space="preserve"> </w:t>
      </w:r>
      <w:r w:rsidR="003C333E">
        <w:rPr>
          <w:rFonts w:ascii="Arial" w:eastAsia="宋体" w:hAnsi="Arial" w:cs="黑体"/>
          <w:b/>
          <w:bCs/>
          <w:noProof/>
          <w:kern w:val="0"/>
          <w:sz w:val="24"/>
        </w:rPr>
        <w:t>Aug</w:t>
      </w:r>
      <w:r w:rsidR="00AA3FAE" w:rsidRPr="00A26D85">
        <w:rPr>
          <w:rFonts w:ascii="Arial" w:eastAsia="宋体" w:hAnsi="Arial" w:cs="黑体"/>
          <w:b/>
          <w:bCs/>
          <w:noProof/>
          <w:kern w:val="0"/>
          <w:sz w:val="24"/>
        </w:rPr>
        <w:t>, 202</w:t>
      </w:r>
      <w:r w:rsidR="0035034A">
        <w:rPr>
          <w:rFonts w:ascii="Arial" w:eastAsia="宋体" w:hAnsi="Arial" w:cs="黑体"/>
          <w:b/>
          <w:bCs/>
          <w:noProof/>
          <w:kern w:val="0"/>
          <w:sz w:val="24"/>
        </w:rPr>
        <w:t>2</w:t>
      </w:r>
      <w:r w:rsidR="00AA3FAE" w:rsidRPr="00AA3FAE">
        <w:rPr>
          <w:rFonts w:ascii="Arial" w:eastAsia="宋体" w:hAnsi="Arial" w:cs="黑体"/>
          <w:b/>
          <w:bCs/>
          <w:kern w:val="0"/>
          <w:sz w:val="24"/>
          <w:lang w:val="en-GB"/>
        </w:rPr>
        <w:tab/>
      </w:r>
      <w:r w:rsidR="00AA3FAE" w:rsidRPr="00AA3FAE">
        <w:rPr>
          <w:rFonts w:ascii="Arial" w:eastAsia="Dotum" w:hAnsi="Arial" w:cs="Times New Roman"/>
          <w:bCs/>
          <w:kern w:val="0"/>
          <w:sz w:val="24"/>
          <w:szCs w:val="18"/>
          <w:lang w:val="en-GB"/>
        </w:rPr>
        <w:tab/>
      </w:r>
      <w:r w:rsidR="00AA3FAE" w:rsidRPr="00AA3FAE">
        <w:rPr>
          <w:rFonts w:ascii="Arial" w:eastAsia="Dotum" w:hAnsi="Arial" w:cs="Times New Roman"/>
          <w:bCs/>
          <w:kern w:val="0"/>
          <w:sz w:val="24"/>
          <w:szCs w:val="18"/>
          <w:lang w:val="en-GB"/>
        </w:rPr>
        <w:tab/>
      </w:r>
    </w:p>
    <w:p w14:paraId="15C0A33D" w14:textId="42640C08" w:rsidR="00070D39" w:rsidRPr="007846F4" w:rsidRDefault="00070D39" w:rsidP="00070D39">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Agenda Item:</w:t>
      </w:r>
      <w:r w:rsidRPr="007846F4">
        <w:rPr>
          <w:rFonts w:ascii="Arial" w:eastAsia="宋体" w:hAnsi="Arial" w:cs="Times New Roman"/>
          <w:b/>
          <w:kern w:val="0"/>
          <w:sz w:val="22"/>
          <w:szCs w:val="20"/>
          <w:lang w:val="en-GB"/>
        </w:rPr>
        <w:tab/>
        <w:t>13.</w:t>
      </w:r>
      <w:r w:rsidR="00252938">
        <w:rPr>
          <w:rFonts w:ascii="Arial" w:eastAsia="宋体" w:hAnsi="Arial" w:cs="Times New Roman"/>
          <w:b/>
          <w:kern w:val="0"/>
          <w:sz w:val="22"/>
          <w:szCs w:val="20"/>
          <w:lang w:val="en-GB"/>
        </w:rPr>
        <w:t>3</w:t>
      </w:r>
    </w:p>
    <w:p w14:paraId="3A7B9F35" w14:textId="5CEF1D87" w:rsidR="00AA3FAE" w:rsidRPr="007846F4"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 xml:space="preserve">Source: </w:t>
      </w:r>
      <w:r w:rsidRPr="007846F4">
        <w:rPr>
          <w:rFonts w:ascii="Arial" w:eastAsia="宋体" w:hAnsi="Arial" w:cs="Times New Roman"/>
          <w:b/>
          <w:kern w:val="0"/>
          <w:sz w:val="22"/>
          <w:szCs w:val="20"/>
          <w:lang w:val="en-GB"/>
        </w:rPr>
        <w:tab/>
        <w:t>Lenovo</w:t>
      </w:r>
    </w:p>
    <w:p w14:paraId="18B7FED9" w14:textId="120AD986" w:rsidR="00070D39" w:rsidRPr="007846F4" w:rsidRDefault="00070D39" w:rsidP="00070D39">
      <w:pPr>
        <w:widowControl/>
        <w:tabs>
          <w:tab w:val="left" w:pos="1701"/>
          <w:tab w:val="right" w:pos="9639"/>
        </w:tabs>
        <w:overflowPunct w:val="0"/>
        <w:autoSpaceDE w:val="0"/>
        <w:autoSpaceDN w:val="0"/>
        <w:adjustRightInd w:val="0"/>
        <w:spacing w:after="240"/>
        <w:ind w:left="3865" w:hangingChars="1750" w:hanging="3865"/>
        <w:textAlignment w:val="baseline"/>
        <w:rPr>
          <w:rFonts w:ascii="Arial" w:eastAsia="MS Mincho" w:hAnsi="Arial" w:cs="Times New Roman"/>
          <w:b/>
          <w:kern w:val="0"/>
          <w:sz w:val="22"/>
          <w:szCs w:val="20"/>
          <w:lang w:val="en-GB"/>
        </w:rPr>
      </w:pPr>
      <w:r w:rsidRPr="007846F4">
        <w:rPr>
          <w:rFonts w:ascii="Arial" w:eastAsia="宋体" w:hAnsi="Arial" w:cs="Times New Roman"/>
          <w:b/>
          <w:kern w:val="0"/>
          <w:sz w:val="22"/>
          <w:szCs w:val="20"/>
          <w:lang w:val="en-GB"/>
        </w:rPr>
        <w:t xml:space="preserve">Title: </w:t>
      </w:r>
      <w:r w:rsidRPr="007846F4">
        <w:rPr>
          <w:rFonts w:ascii="Arial" w:eastAsia="宋体" w:hAnsi="Arial" w:cs="Times New Roman"/>
          <w:b/>
          <w:kern w:val="0"/>
          <w:sz w:val="22"/>
          <w:szCs w:val="20"/>
          <w:lang w:val="en-GB"/>
        </w:rPr>
        <w:tab/>
      </w:r>
      <w:bookmarkStart w:id="0" w:name="OLE_LINK7"/>
      <w:r w:rsidR="00770C1B" w:rsidRPr="00770C1B">
        <w:rPr>
          <w:rFonts w:ascii="Arial" w:eastAsia="宋体" w:hAnsi="Arial" w:cs="Times New Roman"/>
          <w:b/>
          <w:kern w:val="0"/>
          <w:sz w:val="22"/>
          <w:szCs w:val="20"/>
          <w:lang w:val="en-GB"/>
        </w:rPr>
        <w:t>Mobility enhancements for mobile IAB-node and its served UE</w:t>
      </w:r>
    </w:p>
    <w:bookmarkEnd w:id="0"/>
    <w:p w14:paraId="586F74AD" w14:textId="77777777" w:rsidR="00AA3FAE" w:rsidRPr="007846F4"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Document for:</w:t>
      </w:r>
      <w:r w:rsidRPr="007846F4">
        <w:rPr>
          <w:rFonts w:ascii="Arial" w:eastAsia="宋体" w:hAnsi="Arial" w:cs="Times New Roman"/>
          <w:b/>
          <w:kern w:val="0"/>
          <w:sz w:val="22"/>
          <w:szCs w:val="20"/>
          <w:lang w:val="en-GB"/>
        </w:rPr>
        <w:tab/>
        <w:t>Discussion and decision</w:t>
      </w:r>
    </w:p>
    <w:p w14:paraId="46DBFDB8" w14:textId="1885E262" w:rsidR="00AA3FAE" w:rsidRPr="0032255E" w:rsidRDefault="00AA3FAE" w:rsidP="0032255E">
      <w:pPr>
        <w:pStyle w:val="ac"/>
        <w:keepNext/>
        <w:keepLines/>
        <w:widowControl/>
        <w:numPr>
          <w:ilvl w:val="0"/>
          <w:numId w:val="3"/>
        </w:numPr>
        <w:pBdr>
          <w:top w:val="single" w:sz="12" w:space="3" w:color="auto"/>
        </w:pBdr>
        <w:tabs>
          <w:tab w:val="num" w:pos="432"/>
        </w:tabs>
        <w:overflowPunct w:val="0"/>
        <w:autoSpaceDE w:val="0"/>
        <w:autoSpaceDN w:val="0"/>
        <w:adjustRightInd w:val="0"/>
        <w:spacing w:before="240" w:after="180"/>
        <w:ind w:firstLineChars="0"/>
        <w:jc w:val="left"/>
        <w:textAlignment w:val="baseline"/>
        <w:outlineLvl w:val="0"/>
        <w:rPr>
          <w:rFonts w:ascii="Arial" w:eastAsia="Dotum" w:hAnsi="Arial" w:cs="Times New Roman"/>
          <w:kern w:val="0"/>
          <w:sz w:val="36"/>
          <w:szCs w:val="36"/>
          <w:lang w:val="en-GB"/>
        </w:rPr>
      </w:pPr>
      <w:r w:rsidRPr="0032255E">
        <w:rPr>
          <w:rFonts w:ascii="Arial" w:eastAsia="Dotum" w:hAnsi="Arial" w:cs="Times New Roman"/>
          <w:kern w:val="0"/>
          <w:sz w:val="36"/>
          <w:szCs w:val="36"/>
          <w:lang w:val="en-GB"/>
        </w:rPr>
        <w:t>Introduction</w:t>
      </w:r>
      <w:bookmarkStart w:id="1" w:name="_Ref174151459"/>
      <w:bookmarkStart w:id="2" w:name="_Ref189809556"/>
    </w:p>
    <w:p w14:paraId="229606AE" w14:textId="77777777" w:rsidR="002F0CB9" w:rsidRDefault="002F0CB9" w:rsidP="002F0CB9">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A new WID for mobile IAB-node [1] has been approved to be discussed in Rel-18, and following detail objectives are identified mainly focus on RAN3 and RAN2.</w:t>
      </w:r>
    </w:p>
    <w:tbl>
      <w:tblPr>
        <w:tblW w:w="9704"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4"/>
      </w:tblGrid>
      <w:tr w:rsidR="002F0CB9" w14:paraId="1B03B2D6" w14:textId="77777777" w:rsidTr="00F32368">
        <w:trPr>
          <w:trHeight w:val="1747"/>
        </w:trPr>
        <w:tc>
          <w:tcPr>
            <w:tcW w:w="9704" w:type="dxa"/>
          </w:tcPr>
          <w:p w14:paraId="708B05C5" w14:textId="77777777" w:rsidR="002F0CB9" w:rsidRPr="001139CF" w:rsidRDefault="002F0CB9" w:rsidP="00F32368">
            <w:pPr>
              <w:widowControl/>
              <w:numPr>
                <w:ilvl w:val="0"/>
                <w:numId w:val="9"/>
              </w:numPr>
              <w:overflowPunct w:val="0"/>
              <w:autoSpaceDE w:val="0"/>
              <w:autoSpaceDN w:val="0"/>
              <w:adjustRightInd w:val="0"/>
              <w:spacing w:before="60" w:after="60"/>
              <w:jc w:val="left"/>
              <w:textAlignment w:val="baseline"/>
              <w:rPr>
                <w:rFonts w:ascii="Calibri" w:eastAsia="Times New Roman" w:hAnsi="Calibri" w:cs="Times New Roman"/>
                <w:kern w:val="0"/>
                <w:sz w:val="22"/>
                <w:lang w:eastAsia="en-US"/>
              </w:rPr>
            </w:pPr>
            <w:r w:rsidRPr="001139CF">
              <w:rPr>
                <w:rFonts w:ascii="Calibri" w:eastAsia="Times New Roman" w:hAnsi="Calibri" w:cs="Times New Roman"/>
                <w:kern w:val="0"/>
                <w:sz w:val="22"/>
                <w:lang w:eastAsia="en-US"/>
              </w:rPr>
              <w:t>Define Procedures for migration/topology adaptation to enable IAB-node mobility, including inter-donor migration of the entire mobile IAB-node (full migration) [RAN3, RAN2]</w:t>
            </w:r>
          </w:p>
          <w:p w14:paraId="20693820" w14:textId="77777777" w:rsidR="002F0CB9" w:rsidRPr="001139CF" w:rsidRDefault="002F0CB9" w:rsidP="00F32368">
            <w:pPr>
              <w:widowControl/>
              <w:numPr>
                <w:ilvl w:val="0"/>
                <w:numId w:val="9"/>
              </w:numPr>
              <w:overflowPunct w:val="0"/>
              <w:autoSpaceDE w:val="0"/>
              <w:autoSpaceDN w:val="0"/>
              <w:adjustRightInd w:val="0"/>
              <w:spacing w:before="60" w:after="60"/>
              <w:jc w:val="left"/>
              <w:textAlignment w:val="baseline"/>
              <w:rPr>
                <w:rFonts w:ascii="Calibri" w:eastAsia="Times New Roman" w:hAnsi="Calibri" w:cs="Times New Roman"/>
                <w:kern w:val="0"/>
                <w:sz w:val="22"/>
                <w:lang w:eastAsia="en-US"/>
              </w:rPr>
            </w:pPr>
            <w:r w:rsidRPr="001139CF">
              <w:rPr>
                <w:rFonts w:ascii="Calibri" w:eastAsia="Times New Roman" w:hAnsi="Calibri" w:cs="Times New Roman"/>
                <w:kern w:val="0"/>
                <w:sz w:val="22"/>
                <w:lang w:eastAsia="en-US"/>
              </w:rPr>
              <w:t xml:space="preserve">Enhancements for mobility of an IAB-node together with its served UEs, including </w:t>
            </w:r>
            <w:bookmarkStart w:id="3" w:name="OLE_LINK3"/>
            <w:r w:rsidRPr="001139CF">
              <w:rPr>
                <w:rFonts w:ascii="Calibri" w:eastAsia="Times New Roman" w:hAnsi="Calibri" w:cs="Times New Roman"/>
                <w:kern w:val="0"/>
                <w:sz w:val="22"/>
                <w:lang w:eastAsia="en-US"/>
              </w:rPr>
              <w:t>aspects related to group mobility</w:t>
            </w:r>
            <w:bookmarkEnd w:id="3"/>
            <w:r w:rsidRPr="001139CF">
              <w:rPr>
                <w:rFonts w:ascii="Calibri" w:eastAsia="Times New Roman" w:hAnsi="Calibri" w:cs="Times New Roman"/>
                <w:kern w:val="0"/>
                <w:sz w:val="22"/>
                <w:lang w:eastAsia="en-US"/>
              </w:rPr>
              <w:t>. No optimizations for the targeting of surrounding UEs. [RAN3, RAN2]</w:t>
            </w:r>
          </w:p>
          <w:p w14:paraId="7F9AEA47" w14:textId="77777777" w:rsidR="002F0CB9" w:rsidRPr="001139CF" w:rsidRDefault="002F0CB9" w:rsidP="00F32368">
            <w:pPr>
              <w:widowControl/>
              <w:spacing w:before="60" w:after="60"/>
              <w:ind w:left="720"/>
              <w:rPr>
                <w:rFonts w:ascii="Calibri" w:eastAsia="Times New Roman" w:hAnsi="Calibri" w:cs="Times New Roman"/>
                <w:i/>
                <w:iCs/>
                <w:kern w:val="0"/>
                <w:sz w:val="22"/>
                <w:lang w:eastAsia="en-US"/>
              </w:rPr>
            </w:pPr>
            <w:r w:rsidRPr="001139CF">
              <w:rPr>
                <w:rFonts w:ascii="Calibri" w:eastAsia="Times New Roman" w:hAnsi="Calibri" w:cs="Times New Roman"/>
                <w:i/>
                <w:iCs/>
                <w:kern w:val="0"/>
                <w:sz w:val="22"/>
                <w:lang w:eastAsia="en-US"/>
              </w:rPr>
              <w:t>Note: Solutions should avoid touching upon topics where Rel-17 discussions already occurred and where the topic was excluded from Rel-17, except for enhancements that are specific to IAB-node mobility.</w:t>
            </w:r>
          </w:p>
          <w:p w14:paraId="751AB102" w14:textId="77777777" w:rsidR="002F0CB9" w:rsidRDefault="002F0CB9" w:rsidP="00F32368">
            <w:pPr>
              <w:widowControl/>
              <w:numPr>
                <w:ilvl w:val="0"/>
                <w:numId w:val="9"/>
              </w:numPr>
              <w:overflowPunct w:val="0"/>
              <w:autoSpaceDE w:val="0"/>
              <w:autoSpaceDN w:val="0"/>
              <w:adjustRightInd w:val="0"/>
              <w:spacing w:before="60" w:after="60"/>
              <w:jc w:val="left"/>
              <w:textAlignment w:val="baseline"/>
              <w:rPr>
                <w:rFonts w:ascii="Calibri" w:eastAsia="Times New Roman" w:hAnsi="Calibri" w:cs="Times New Roman"/>
                <w:kern w:val="0"/>
                <w:sz w:val="22"/>
                <w:lang w:eastAsia="en-US"/>
              </w:rPr>
            </w:pPr>
            <w:r w:rsidRPr="001139CF">
              <w:rPr>
                <w:rFonts w:ascii="Calibri" w:eastAsia="Times New Roman" w:hAnsi="Calibri" w:cs="Times New Roman"/>
                <w:kern w:val="0"/>
                <w:sz w:val="22"/>
                <w:lang w:eastAsia="en-US"/>
              </w:rPr>
              <w:t>Mitigation of interference due to IAB-node mobility, including the avoidance of potential reference and control signal collisions (e.g. PCI, RACH). [RAN3, RAN2]</w:t>
            </w:r>
          </w:p>
          <w:p w14:paraId="1C058673" w14:textId="77777777" w:rsidR="002F0CB9" w:rsidRPr="001139CF" w:rsidRDefault="002F0CB9" w:rsidP="00F32368">
            <w:pPr>
              <w:widowControl/>
              <w:overflowPunct w:val="0"/>
              <w:autoSpaceDE w:val="0"/>
              <w:autoSpaceDN w:val="0"/>
              <w:adjustRightInd w:val="0"/>
              <w:spacing w:before="60" w:after="60"/>
              <w:ind w:left="360"/>
              <w:jc w:val="left"/>
              <w:textAlignment w:val="baseline"/>
              <w:rPr>
                <w:rFonts w:ascii="Calibri" w:eastAsia="Times New Roman" w:hAnsi="Calibri" w:cs="Times New Roman"/>
                <w:kern w:val="0"/>
                <w:sz w:val="22"/>
                <w:lang w:eastAsia="en-US"/>
              </w:rPr>
            </w:pPr>
            <w:r w:rsidRPr="00EF5733">
              <w:rPr>
                <w:rFonts w:ascii="Calibri" w:eastAsia="Times New Roman" w:hAnsi="Calibri" w:cs="Times New Roman"/>
                <w:kern w:val="0"/>
                <w:sz w:val="22"/>
                <w:lang w:eastAsia="en-US"/>
              </w:rPr>
              <w:t>Note: At the beginning of the work period, RAN3, RAN2 should discuss the potential complexity of a scenario where a mobile IAB node connects to a stationary (intermediate) IAB node, with respect to the scenario where a mobile IAB node connects directly to an IAB-donor.</w:t>
            </w:r>
          </w:p>
        </w:tc>
      </w:tr>
    </w:tbl>
    <w:p w14:paraId="6D4B8E3A" w14:textId="0E6FD93C" w:rsidR="006E5566" w:rsidRDefault="002F0CB9" w:rsidP="002F0CB9">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this contribution, </w:t>
      </w:r>
      <w:r w:rsidR="006E5566">
        <w:rPr>
          <w:rFonts w:ascii="Times New Roman" w:eastAsia="宋体" w:hAnsi="Times New Roman" w:cs="Times New Roman"/>
          <w:kern w:val="0"/>
          <w:sz w:val="20"/>
          <w:szCs w:val="20"/>
        </w:rPr>
        <w:t xml:space="preserve">enhancement for mobile IAB-node mobility is discussed, including </w:t>
      </w:r>
      <w:r w:rsidR="006E5566" w:rsidRPr="006E5566">
        <w:rPr>
          <w:rFonts w:ascii="Times New Roman" w:eastAsia="宋体" w:hAnsi="Times New Roman" w:cs="Times New Roman"/>
          <w:kern w:val="0"/>
          <w:sz w:val="20"/>
          <w:szCs w:val="20"/>
        </w:rPr>
        <w:t>aspects related to group mobility</w:t>
      </w:r>
      <w:r w:rsidR="006E5566">
        <w:rPr>
          <w:rFonts w:ascii="Times New Roman" w:eastAsia="宋体" w:hAnsi="Times New Roman" w:cs="Times New Roman"/>
          <w:kern w:val="0"/>
          <w:sz w:val="20"/>
          <w:szCs w:val="20"/>
        </w:rPr>
        <w:t xml:space="preserve"> with its served UE.</w:t>
      </w:r>
    </w:p>
    <w:p w14:paraId="47F0D14A" w14:textId="2EABFABC" w:rsidR="00AA3FAE" w:rsidRPr="0032255E" w:rsidRDefault="00AA3FAE" w:rsidP="0032255E">
      <w:pPr>
        <w:pStyle w:val="ac"/>
        <w:keepNext/>
        <w:keepLines/>
        <w:widowControl/>
        <w:numPr>
          <w:ilvl w:val="0"/>
          <w:numId w:val="3"/>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宋体" w:hAnsi="Arial" w:cs="Times New Roman"/>
          <w:kern w:val="0"/>
          <w:sz w:val="36"/>
          <w:szCs w:val="36"/>
          <w:lang w:val="en-GB"/>
        </w:rPr>
      </w:pPr>
      <w:r w:rsidRPr="0032255E">
        <w:rPr>
          <w:rFonts w:ascii="Arial" w:eastAsia="宋体" w:hAnsi="Arial" w:cs="Times New Roman"/>
          <w:kern w:val="0"/>
          <w:sz w:val="36"/>
          <w:szCs w:val="36"/>
          <w:lang w:val="en-GB"/>
        </w:rPr>
        <w:t>Discussion</w:t>
      </w:r>
    </w:p>
    <w:p w14:paraId="4DB65650" w14:textId="77777777" w:rsidR="00FF6205" w:rsidRPr="0079429A" w:rsidRDefault="00FF6205" w:rsidP="00FF6205">
      <w:pPr>
        <w:widowControl/>
        <w:overflowPunct w:val="0"/>
        <w:autoSpaceDE w:val="0"/>
        <w:autoSpaceDN w:val="0"/>
        <w:adjustRightInd w:val="0"/>
        <w:spacing w:beforeLines="50" w:before="120" w:after="180"/>
        <w:textAlignment w:val="baseline"/>
        <w:rPr>
          <w:rFonts w:ascii="Times New Roman" w:eastAsia="宋体" w:hAnsi="Times New Roman" w:cs="Times New Roman"/>
          <w:b/>
          <w:bCs/>
          <w:kern w:val="0"/>
          <w:sz w:val="22"/>
          <w:u w:val="single"/>
        </w:rPr>
      </w:pPr>
      <w:r>
        <w:rPr>
          <w:rFonts w:ascii="Times New Roman" w:eastAsia="宋体" w:hAnsi="Times New Roman" w:cs="Times New Roman"/>
          <w:b/>
          <w:bCs/>
          <w:kern w:val="0"/>
          <w:sz w:val="22"/>
          <w:u w:val="single"/>
        </w:rPr>
        <w:t>Mobile attribute notification of mobile IAB-node</w:t>
      </w:r>
    </w:p>
    <w:p w14:paraId="671A28C1" w14:textId="77777777" w:rsidR="00FF6205" w:rsidRDefault="00FF6205" w:rsidP="00FF6205">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w:t>
      </w:r>
      <w:r w:rsidRPr="00F0569A">
        <w:rPr>
          <w:rFonts w:ascii="Times New Roman" w:eastAsia="宋体" w:hAnsi="Times New Roman" w:cs="Times New Roman"/>
          <w:kern w:val="0"/>
          <w:sz w:val="20"/>
          <w:szCs w:val="20"/>
        </w:rPr>
        <w:t xml:space="preserve">IAB-node </w:t>
      </w:r>
      <w:r>
        <w:rPr>
          <w:rFonts w:ascii="Times New Roman" w:eastAsia="宋体" w:hAnsi="Times New Roman" w:cs="Times New Roman"/>
          <w:kern w:val="0"/>
          <w:sz w:val="20"/>
          <w:szCs w:val="20"/>
        </w:rPr>
        <w:t>i</w:t>
      </w:r>
      <w:r w:rsidRPr="00F0569A">
        <w:rPr>
          <w:rFonts w:ascii="Times New Roman" w:eastAsia="宋体" w:hAnsi="Times New Roman" w:cs="Times New Roman"/>
          <w:kern w:val="0"/>
          <w:sz w:val="20"/>
          <w:szCs w:val="20"/>
        </w:rPr>
        <w:t xml:space="preserve">ntegration </w:t>
      </w:r>
      <w:r>
        <w:rPr>
          <w:rFonts w:ascii="Times New Roman" w:eastAsia="宋体" w:hAnsi="Times New Roman" w:cs="Times New Roman"/>
          <w:kern w:val="0"/>
          <w:sz w:val="20"/>
          <w:szCs w:val="20"/>
        </w:rPr>
        <w:t>p</w:t>
      </w:r>
      <w:r w:rsidRPr="00F0569A">
        <w:rPr>
          <w:rFonts w:ascii="Times New Roman" w:eastAsia="宋体" w:hAnsi="Times New Roman" w:cs="Times New Roman"/>
          <w:kern w:val="0"/>
          <w:sz w:val="20"/>
          <w:szCs w:val="20"/>
        </w:rPr>
        <w:t>rocedure</w:t>
      </w:r>
      <w:r>
        <w:rPr>
          <w:rFonts w:ascii="Times New Roman" w:eastAsia="宋体" w:hAnsi="Times New Roman" w:cs="Times New Roman"/>
          <w:kern w:val="0"/>
          <w:sz w:val="20"/>
          <w:szCs w:val="20"/>
        </w:rPr>
        <w:t>, t</w:t>
      </w:r>
      <w:r w:rsidRPr="00F0569A">
        <w:rPr>
          <w:rFonts w:ascii="Times New Roman" w:eastAsia="宋体" w:hAnsi="Times New Roman" w:cs="Times New Roman"/>
          <w:kern w:val="0"/>
          <w:sz w:val="20"/>
          <w:szCs w:val="20"/>
        </w:rPr>
        <w:t xml:space="preserve">o indicate its IAB capability, the IAB-MT includes the IAB-node indication in </w:t>
      </w:r>
      <w:proofErr w:type="spellStart"/>
      <w:r w:rsidRPr="00F0569A">
        <w:rPr>
          <w:rFonts w:ascii="Times New Roman" w:eastAsia="宋体" w:hAnsi="Times New Roman" w:cs="Times New Roman"/>
          <w:i/>
          <w:iCs/>
          <w:kern w:val="0"/>
          <w:sz w:val="20"/>
          <w:szCs w:val="20"/>
        </w:rPr>
        <w:t>RRCSetupComplete</w:t>
      </w:r>
      <w:proofErr w:type="spellEnd"/>
      <w:r w:rsidRPr="00F0569A">
        <w:rPr>
          <w:rFonts w:ascii="Times New Roman" w:eastAsia="宋体" w:hAnsi="Times New Roman" w:cs="Times New Roman"/>
          <w:kern w:val="0"/>
          <w:sz w:val="20"/>
          <w:szCs w:val="20"/>
        </w:rPr>
        <w:t xml:space="preserve"> message, to assist the IAB-donor to select an AMF supporting IAB.</w:t>
      </w:r>
      <w:r>
        <w:rPr>
          <w:rFonts w:ascii="Times New Roman" w:eastAsia="宋体" w:hAnsi="Times New Roman" w:cs="Times New Roman"/>
          <w:kern w:val="0"/>
          <w:sz w:val="20"/>
          <w:szCs w:val="20"/>
        </w:rPr>
        <w:t xml:space="preserve"> This can be also applied to the mobile IAB-node. </w:t>
      </w:r>
    </w:p>
    <w:p w14:paraId="719A7151" w14:textId="77777777" w:rsidR="00FF6205" w:rsidRDefault="00FF6205" w:rsidP="00FF6205">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However, mobile IAB-node is different from stationary IAB-node in many aspects. For the topology, mobile IAB-node can only serve for UEs and doesn’t have any descendant IAB-nodes, and mobile IAB-node may only connect to an IAB-donor rather than a stationary IAB-node as the parent node. In addition, mobile IAB-node is to support inter-donor full migration while the stationary IAB-node can only support partial migration in Rel-18. And the mobile IAB-node may have two logical IAB-DUs to support full migration which is also not supported by the stationary IAB-node.</w:t>
      </w:r>
    </w:p>
    <w:p w14:paraId="4CFA1E45" w14:textId="324E5CE9" w:rsidR="00FF6205" w:rsidRDefault="00FF6205" w:rsidP="00FF6205">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B</w:t>
      </w:r>
      <w:r>
        <w:rPr>
          <w:rFonts w:ascii="Times New Roman" w:eastAsia="宋体" w:hAnsi="Times New Roman" w:cs="Times New Roman"/>
          <w:kern w:val="0"/>
          <w:sz w:val="20"/>
          <w:szCs w:val="20"/>
        </w:rPr>
        <w:t xml:space="preserve">ased on the differences between the mobile IAB-node and the stationary IAB-node, IAB-donor-CU needs to be aware of the mobile attribute of the IAB-node, and the mobile IAB-node can inform to IAB-donor-CU whether </w:t>
      </w:r>
      <w:r w:rsidRPr="00621AA7">
        <w:rPr>
          <w:rFonts w:ascii="Times New Roman" w:eastAsia="宋体" w:hAnsi="Times New Roman" w:cs="Times New Roman"/>
          <w:kern w:val="0"/>
          <w:sz w:val="20"/>
          <w:szCs w:val="20"/>
        </w:rPr>
        <w:t>it is a mobile IAB</w:t>
      </w:r>
      <w:r>
        <w:rPr>
          <w:rFonts w:ascii="Times New Roman" w:eastAsia="宋体" w:hAnsi="Times New Roman" w:cs="Times New Roman"/>
          <w:kern w:val="0"/>
          <w:sz w:val="20"/>
          <w:szCs w:val="20"/>
        </w:rPr>
        <w:t>-</w:t>
      </w:r>
      <w:r w:rsidRPr="00621AA7">
        <w:rPr>
          <w:rFonts w:ascii="Times New Roman" w:eastAsia="宋体" w:hAnsi="Times New Roman" w:cs="Times New Roman"/>
          <w:kern w:val="0"/>
          <w:sz w:val="20"/>
          <w:szCs w:val="20"/>
        </w:rPr>
        <w:t>nod</w:t>
      </w:r>
      <w:r>
        <w:rPr>
          <w:rFonts w:ascii="Times New Roman" w:eastAsia="宋体" w:hAnsi="Times New Roman" w:cs="Times New Roman" w:hint="eastAsia"/>
          <w:kern w:val="0"/>
          <w:sz w:val="20"/>
          <w:szCs w:val="20"/>
        </w:rPr>
        <w:t>e</w:t>
      </w:r>
      <w:r>
        <w:rPr>
          <w:rFonts w:ascii="Times New Roman" w:eastAsia="宋体" w:hAnsi="Times New Roman" w:cs="Times New Roman"/>
          <w:kern w:val="0"/>
          <w:sz w:val="20"/>
          <w:szCs w:val="20"/>
        </w:rPr>
        <w:t xml:space="preserve"> or a stationary IAB-node during integration or after integration. S</w:t>
      </w:r>
      <w:r w:rsidRPr="00BC2F24">
        <w:rPr>
          <w:rFonts w:ascii="Times New Roman" w:eastAsia="宋体" w:hAnsi="Times New Roman" w:cs="Times New Roman"/>
          <w:kern w:val="0"/>
          <w:sz w:val="20"/>
          <w:szCs w:val="20"/>
        </w:rPr>
        <w:t>imilarly</w:t>
      </w:r>
      <w:r>
        <w:rPr>
          <w:rFonts w:ascii="Times New Roman" w:eastAsia="宋体" w:hAnsi="Times New Roman" w:cs="Times New Roman"/>
          <w:kern w:val="0"/>
          <w:sz w:val="20"/>
          <w:szCs w:val="20"/>
        </w:rPr>
        <w:t>, during the inter-donor migration for mobile IAB-node, m</w:t>
      </w:r>
      <w:r w:rsidRPr="00BC2F24">
        <w:rPr>
          <w:rFonts w:ascii="Times New Roman" w:eastAsia="宋体" w:hAnsi="Times New Roman" w:cs="Times New Roman"/>
          <w:kern w:val="0"/>
          <w:sz w:val="20"/>
          <w:szCs w:val="20"/>
        </w:rPr>
        <w:t xml:space="preserve">obile attribute of mobile IAB-node needs to be exchanged between source IAB-donor and target IAB-donor </w:t>
      </w:r>
      <w:r>
        <w:rPr>
          <w:rFonts w:ascii="Times New Roman" w:eastAsia="宋体" w:hAnsi="Times New Roman" w:cs="Times New Roman"/>
          <w:kern w:val="0"/>
          <w:sz w:val="20"/>
          <w:szCs w:val="20"/>
        </w:rPr>
        <w:t>via</w:t>
      </w:r>
      <w:r w:rsidRPr="00BC2F24">
        <w:rPr>
          <w:rFonts w:ascii="Times New Roman" w:eastAsia="宋体" w:hAnsi="Times New Roman" w:cs="Times New Roman"/>
          <w:kern w:val="0"/>
          <w:sz w:val="20"/>
          <w:szCs w:val="20"/>
        </w:rPr>
        <w:t xml:space="preserve"> XnAP</w:t>
      </w:r>
      <w:r>
        <w:rPr>
          <w:rFonts w:ascii="Times New Roman" w:eastAsia="宋体" w:hAnsi="Times New Roman" w:cs="Times New Roman"/>
          <w:kern w:val="0"/>
          <w:sz w:val="20"/>
          <w:szCs w:val="20"/>
        </w:rPr>
        <w:t>.</w:t>
      </w:r>
    </w:p>
    <w:p w14:paraId="034F3043" w14:textId="55F509FC" w:rsidR="00387EF8" w:rsidRDefault="00387EF8" w:rsidP="00FF6205">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sidRPr="00BC2F24">
        <w:rPr>
          <w:rFonts w:ascii="Times New Roman" w:eastAsia="宋体" w:hAnsi="Times New Roman" w:cs="Times New Roman"/>
          <w:b/>
          <w:bCs/>
          <w:kern w:val="0"/>
          <w:sz w:val="20"/>
          <w:szCs w:val="20"/>
        </w:rPr>
        <w:t xml:space="preserve">Proposal </w:t>
      </w:r>
      <w:r>
        <w:rPr>
          <w:rFonts w:ascii="Times New Roman" w:eastAsia="宋体" w:hAnsi="Times New Roman" w:cs="Times New Roman"/>
          <w:b/>
          <w:bCs/>
          <w:kern w:val="0"/>
          <w:sz w:val="20"/>
          <w:szCs w:val="20"/>
        </w:rPr>
        <w:t>1</w:t>
      </w:r>
      <w:r w:rsidRPr="00BC2F24">
        <w:rPr>
          <w:rFonts w:ascii="Times New Roman" w:eastAsia="宋体" w:hAnsi="Times New Roman" w:cs="Times New Roman"/>
          <w:b/>
          <w:bCs/>
          <w:kern w:val="0"/>
          <w:sz w:val="20"/>
          <w:szCs w:val="20"/>
        </w:rPr>
        <w:t>:</w:t>
      </w:r>
      <w:r w:rsidR="00312351">
        <w:rPr>
          <w:rFonts w:ascii="Times New Roman" w:eastAsia="宋体" w:hAnsi="Times New Roman" w:cs="Times New Roman"/>
          <w:b/>
          <w:bCs/>
          <w:kern w:val="0"/>
          <w:sz w:val="20"/>
          <w:szCs w:val="20"/>
        </w:rPr>
        <w:t xml:space="preserve"> Mobile </w:t>
      </w:r>
      <w:r w:rsidR="00312351" w:rsidRPr="00D226CE">
        <w:rPr>
          <w:rFonts w:ascii="Times New Roman" w:eastAsia="宋体" w:hAnsi="Times New Roman" w:cs="Times New Roman"/>
          <w:b/>
          <w:bCs/>
          <w:kern w:val="0"/>
          <w:sz w:val="20"/>
          <w:szCs w:val="20"/>
        </w:rPr>
        <w:t>IAB</w:t>
      </w:r>
      <w:r w:rsidR="00312351">
        <w:rPr>
          <w:rFonts w:ascii="Times New Roman" w:eastAsia="宋体" w:hAnsi="Times New Roman" w:cs="Times New Roman"/>
          <w:b/>
          <w:bCs/>
          <w:kern w:val="0"/>
          <w:sz w:val="20"/>
          <w:szCs w:val="20"/>
        </w:rPr>
        <w:t>-</w:t>
      </w:r>
      <w:r w:rsidR="00312351" w:rsidRPr="00D226CE">
        <w:rPr>
          <w:rFonts w:ascii="Times New Roman" w:eastAsia="宋体" w:hAnsi="Times New Roman" w:cs="Times New Roman"/>
          <w:b/>
          <w:bCs/>
          <w:kern w:val="0"/>
          <w:sz w:val="20"/>
          <w:szCs w:val="20"/>
        </w:rPr>
        <w:t>node</w:t>
      </w:r>
      <w:r w:rsidR="00312351">
        <w:rPr>
          <w:rFonts w:ascii="Times New Roman" w:eastAsia="宋体" w:hAnsi="Times New Roman" w:cs="Times New Roman"/>
          <w:b/>
          <w:bCs/>
          <w:kern w:val="0"/>
          <w:sz w:val="20"/>
          <w:szCs w:val="20"/>
        </w:rPr>
        <w:t xml:space="preserve"> </w:t>
      </w:r>
      <w:r w:rsidR="00312351" w:rsidRPr="00D226CE">
        <w:rPr>
          <w:rFonts w:ascii="Times New Roman" w:eastAsia="宋体" w:hAnsi="Times New Roman" w:cs="Times New Roman"/>
          <w:b/>
          <w:bCs/>
          <w:kern w:val="0"/>
          <w:sz w:val="20"/>
          <w:szCs w:val="20"/>
        </w:rPr>
        <w:t>inform</w:t>
      </w:r>
      <w:r w:rsidR="00312351">
        <w:rPr>
          <w:rFonts w:ascii="Times New Roman" w:eastAsia="宋体" w:hAnsi="Times New Roman" w:cs="Times New Roman"/>
          <w:b/>
          <w:bCs/>
          <w:kern w:val="0"/>
          <w:sz w:val="20"/>
          <w:szCs w:val="20"/>
        </w:rPr>
        <w:t>s</w:t>
      </w:r>
      <w:r w:rsidR="00312351" w:rsidRPr="00D226CE">
        <w:rPr>
          <w:rFonts w:ascii="Times New Roman" w:eastAsia="宋体" w:hAnsi="Times New Roman" w:cs="Times New Roman"/>
          <w:b/>
          <w:bCs/>
          <w:kern w:val="0"/>
          <w:sz w:val="20"/>
          <w:szCs w:val="20"/>
        </w:rPr>
        <w:t xml:space="preserve"> IAB-donor-CU </w:t>
      </w:r>
      <w:r w:rsidR="00312351">
        <w:rPr>
          <w:rFonts w:ascii="Times New Roman" w:eastAsia="宋体" w:hAnsi="Times New Roman" w:cs="Times New Roman"/>
          <w:b/>
          <w:bCs/>
          <w:kern w:val="0"/>
          <w:sz w:val="20"/>
          <w:szCs w:val="20"/>
        </w:rPr>
        <w:t xml:space="preserve">with its mobile attribute </w:t>
      </w:r>
      <w:r w:rsidR="00312351" w:rsidRPr="00B21234">
        <w:rPr>
          <w:rFonts w:ascii="Times New Roman" w:eastAsia="宋体" w:hAnsi="Times New Roman" w:cs="Times New Roman"/>
          <w:b/>
          <w:bCs/>
          <w:kern w:val="0"/>
          <w:sz w:val="20"/>
          <w:szCs w:val="20"/>
        </w:rPr>
        <w:t>during integration or after integration</w:t>
      </w:r>
      <w:r w:rsidR="00312351" w:rsidRPr="00D226CE">
        <w:rPr>
          <w:rFonts w:ascii="Times New Roman" w:eastAsia="宋体" w:hAnsi="Times New Roman" w:cs="Times New Roman"/>
          <w:b/>
          <w:bCs/>
          <w:kern w:val="0"/>
          <w:sz w:val="20"/>
          <w:szCs w:val="20"/>
        </w:rPr>
        <w:t>.</w:t>
      </w:r>
    </w:p>
    <w:p w14:paraId="5FED00D0" w14:textId="348CF0EC" w:rsidR="00FF6205" w:rsidRPr="00BC2F24" w:rsidRDefault="00FF6205" w:rsidP="00FF6205">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BC2F24">
        <w:rPr>
          <w:rFonts w:ascii="Times New Roman" w:eastAsia="宋体" w:hAnsi="Times New Roman" w:cs="Times New Roman"/>
          <w:b/>
          <w:bCs/>
          <w:kern w:val="0"/>
          <w:sz w:val="20"/>
          <w:szCs w:val="20"/>
        </w:rPr>
        <w:lastRenderedPageBreak/>
        <w:t xml:space="preserve">Proposal </w:t>
      </w:r>
      <w:r w:rsidR="00387EF8">
        <w:rPr>
          <w:rFonts w:ascii="Times New Roman" w:eastAsia="宋体" w:hAnsi="Times New Roman" w:cs="Times New Roman"/>
          <w:b/>
          <w:bCs/>
          <w:kern w:val="0"/>
          <w:sz w:val="20"/>
          <w:szCs w:val="20"/>
        </w:rPr>
        <w:t>2</w:t>
      </w:r>
      <w:r w:rsidRPr="00BC2F24">
        <w:rPr>
          <w:rFonts w:ascii="Times New Roman" w:eastAsia="宋体" w:hAnsi="Times New Roman" w:cs="Times New Roman"/>
          <w:b/>
          <w:bCs/>
          <w:kern w:val="0"/>
          <w:sz w:val="20"/>
          <w:szCs w:val="20"/>
        </w:rPr>
        <w:t xml:space="preserve">: </w:t>
      </w:r>
      <w:bookmarkStart w:id="4" w:name="_Hlk110428868"/>
      <w:r w:rsidRPr="00BC2F24">
        <w:rPr>
          <w:rFonts w:ascii="Times New Roman" w:eastAsia="宋体" w:hAnsi="Times New Roman" w:cs="Times New Roman"/>
          <w:b/>
          <w:bCs/>
          <w:kern w:val="0"/>
          <w:sz w:val="20"/>
          <w:szCs w:val="20"/>
        </w:rPr>
        <w:t>Mobile attribute of mobile IAB</w:t>
      </w:r>
      <w:r>
        <w:rPr>
          <w:rFonts w:ascii="Times New Roman" w:eastAsia="宋体" w:hAnsi="Times New Roman" w:cs="Times New Roman"/>
          <w:b/>
          <w:bCs/>
          <w:kern w:val="0"/>
          <w:sz w:val="20"/>
          <w:szCs w:val="20"/>
        </w:rPr>
        <w:t>-</w:t>
      </w:r>
      <w:r w:rsidRPr="00BC2F24">
        <w:rPr>
          <w:rFonts w:ascii="Times New Roman" w:eastAsia="宋体" w:hAnsi="Times New Roman" w:cs="Times New Roman"/>
          <w:b/>
          <w:bCs/>
          <w:kern w:val="0"/>
          <w:sz w:val="20"/>
          <w:szCs w:val="20"/>
        </w:rPr>
        <w:t xml:space="preserve">node needs to be exchanged between source IAB-donor and target IAB-donor </w:t>
      </w:r>
      <w:r>
        <w:rPr>
          <w:rFonts w:ascii="Times New Roman" w:eastAsia="宋体" w:hAnsi="Times New Roman" w:cs="Times New Roman"/>
          <w:b/>
          <w:bCs/>
          <w:kern w:val="0"/>
          <w:sz w:val="20"/>
          <w:szCs w:val="20"/>
        </w:rPr>
        <w:t>via</w:t>
      </w:r>
      <w:r w:rsidRPr="00BC2F24">
        <w:rPr>
          <w:rFonts w:ascii="Times New Roman" w:eastAsia="宋体" w:hAnsi="Times New Roman" w:cs="Times New Roman"/>
          <w:b/>
          <w:bCs/>
          <w:kern w:val="0"/>
          <w:sz w:val="20"/>
          <w:szCs w:val="20"/>
        </w:rPr>
        <w:t xml:space="preserve"> XnAP during inter-donor migration procedure</w:t>
      </w:r>
      <w:bookmarkEnd w:id="4"/>
      <w:r w:rsidRPr="00BC2F24">
        <w:rPr>
          <w:rFonts w:ascii="Times New Roman" w:eastAsia="宋体" w:hAnsi="Times New Roman" w:cs="Times New Roman"/>
          <w:b/>
          <w:bCs/>
          <w:kern w:val="0"/>
          <w:sz w:val="20"/>
          <w:szCs w:val="20"/>
        </w:rPr>
        <w:t>.</w:t>
      </w:r>
    </w:p>
    <w:p w14:paraId="224508DA" w14:textId="7217A785" w:rsidR="00FF6205" w:rsidRDefault="00FF6205" w:rsidP="00FF6205">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n the case of mobile IAB-node, the UEs can be classified into onboard UEs and surrounding UEs. For the onboard UEs, it’s better to camp on the cells of mobile IAB-nodes so that the onboard UEs can perform handover accompany with the serving mobile IAB-node. And cells of stationary IAB-node or cells of IAB-donor is prioritized than cells of mobile IAB-node for the surrounding UEs to access. Therefore, stationary IAB-node and</w:t>
      </w:r>
      <w:r w:rsidRPr="00937E22">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 xml:space="preserve">mobile IAB-node needs to be distinguished from the UE point of view. And the mobile </w:t>
      </w:r>
      <w:r w:rsidRPr="004A5C45">
        <w:rPr>
          <w:rFonts w:ascii="Times New Roman" w:eastAsia="宋体" w:hAnsi="Times New Roman" w:cs="Times New Roman"/>
          <w:kern w:val="0"/>
          <w:sz w:val="20"/>
          <w:szCs w:val="20"/>
        </w:rPr>
        <w:t>attribute of mobile IAB</w:t>
      </w:r>
      <w:r>
        <w:rPr>
          <w:rFonts w:ascii="Times New Roman" w:eastAsia="宋体" w:hAnsi="Times New Roman" w:cs="Times New Roman"/>
          <w:kern w:val="0"/>
          <w:sz w:val="20"/>
          <w:szCs w:val="20"/>
        </w:rPr>
        <w:t>-</w:t>
      </w:r>
      <w:r w:rsidRPr="004A5C45">
        <w:rPr>
          <w:rFonts w:ascii="Times New Roman" w:eastAsia="宋体" w:hAnsi="Times New Roman" w:cs="Times New Roman"/>
          <w:kern w:val="0"/>
          <w:sz w:val="20"/>
          <w:szCs w:val="20"/>
        </w:rPr>
        <w:t>node needs to be broadcast to UEs</w:t>
      </w:r>
      <w:r>
        <w:rPr>
          <w:rFonts w:ascii="Times New Roman" w:eastAsia="宋体" w:hAnsi="Times New Roman" w:cs="Times New Roman"/>
          <w:kern w:val="0"/>
          <w:sz w:val="20"/>
          <w:szCs w:val="20"/>
        </w:rPr>
        <w:t xml:space="preserve"> in </w:t>
      </w:r>
      <w:r w:rsidRPr="004A5C45">
        <w:rPr>
          <w:rFonts w:ascii="Times New Roman" w:eastAsia="宋体" w:hAnsi="Times New Roman" w:cs="Times New Roman"/>
          <w:kern w:val="0"/>
          <w:sz w:val="20"/>
          <w:szCs w:val="20"/>
        </w:rPr>
        <w:t>broadcast information, e.g., SIB1</w:t>
      </w:r>
      <w:r>
        <w:rPr>
          <w:rFonts w:ascii="Times New Roman" w:eastAsia="宋体" w:hAnsi="Times New Roman" w:cs="Times New Roman"/>
          <w:kern w:val="0"/>
          <w:sz w:val="20"/>
          <w:szCs w:val="20"/>
        </w:rPr>
        <w:t>.</w:t>
      </w:r>
    </w:p>
    <w:p w14:paraId="10828750" w14:textId="03CEA266" w:rsidR="006C38B0" w:rsidRPr="00E46C2A" w:rsidRDefault="006C38B0" w:rsidP="00FF6205">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E46C2A">
        <w:rPr>
          <w:rFonts w:ascii="Times New Roman" w:eastAsia="宋体" w:hAnsi="Times New Roman" w:cs="Times New Roman" w:hint="eastAsia"/>
          <w:b/>
          <w:bCs/>
          <w:kern w:val="0"/>
          <w:sz w:val="20"/>
          <w:szCs w:val="20"/>
        </w:rPr>
        <w:t>P</w:t>
      </w:r>
      <w:r w:rsidRPr="00E46C2A">
        <w:rPr>
          <w:rFonts w:ascii="Times New Roman" w:eastAsia="宋体" w:hAnsi="Times New Roman" w:cs="Times New Roman"/>
          <w:b/>
          <w:bCs/>
          <w:kern w:val="0"/>
          <w:sz w:val="20"/>
          <w:szCs w:val="20"/>
        </w:rPr>
        <w:t xml:space="preserve">roposal 3: </w:t>
      </w:r>
      <w:r w:rsidR="00312351">
        <w:rPr>
          <w:rFonts w:ascii="Times New Roman" w:eastAsia="宋体" w:hAnsi="Times New Roman" w:cs="Times New Roman"/>
          <w:b/>
          <w:bCs/>
          <w:kern w:val="0"/>
          <w:sz w:val="20"/>
          <w:szCs w:val="20"/>
        </w:rPr>
        <w:t>M</w:t>
      </w:r>
      <w:r w:rsidR="00312351" w:rsidRPr="00A72210">
        <w:rPr>
          <w:rFonts w:ascii="Times New Roman" w:eastAsia="宋体" w:hAnsi="Times New Roman" w:cs="Times New Roman"/>
          <w:b/>
          <w:bCs/>
          <w:kern w:val="0"/>
          <w:sz w:val="20"/>
          <w:szCs w:val="20"/>
        </w:rPr>
        <w:t>obile IAB</w:t>
      </w:r>
      <w:r w:rsidR="00312351">
        <w:rPr>
          <w:rFonts w:ascii="Times New Roman" w:eastAsia="宋体" w:hAnsi="Times New Roman" w:cs="Times New Roman"/>
          <w:b/>
          <w:bCs/>
          <w:kern w:val="0"/>
          <w:sz w:val="20"/>
          <w:szCs w:val="20"/>
        </w:rPr>
        <w:t>-</w:t>
      </w:r>
      <w:r w:rsidR="00312351" w:rsidRPr="00A72210">
        <w:rPr>
          <w:rFonts w:ascii="Times New Roman" w:eastAsia="宋体" w:hAnsi="Times New Roman" w:cs="Times New Roman"/>
          <w:b/>
          <w:bCs/>
          <w:kern w:val="0"/>
          <w:sz w:val="20"/>
          <w:szCs w:val="20"/>
        </w:rPr>
        <w:t>node broadcast</w:t>
      </w:r>
      <w:r w:rsidR="00312351">
        <w:rPr>
          <w:rFonts w:ascii="Times New Roman" w:eastAsia="宋体" w:hAnsi="Times New Roman" w:cs="Times New Roman"/>
          <w:b/>
          <w:bCs/>
          <w:kern w:val="0"/>
          <w:sz w:val="20"/>
          <w:szCs w:val="20"/>
        </w:rPr>
        <w:t>s</w:t>
      </w:r>
      <w:r w:rsidR="00312351" w:rsidRPr="00A72210">
        <w:rPr>
          <w:rFonts w:ascii="Times New Roman" w:eastAsia="宋体" w:hAnsi="Times New Roman" w:cs="Times New Roman"/>
          <w:b/>
          <w:bCs/>
          <w:kern w:val="0"/>
          <w:sz w:val="20"/>
          <w:szCs w:val="20"/>
        </w:rPr>
        <w:t xml:space="preserve"> </w:t>
      </w:r>
      <w:r w:rsidR="00312351">
        <w:rPr>
          <w:rFonts w:ascii="Times New Roman" w:eastAsia="宋体" w:hAnsi="Times New Roman" w:cs="Times New Roman"/>
          <w:b/>
          <w:bCs/>
          <w:kern w:val="0"/>
          <w:sz w:val="20"/>
          <w:szCs w:val="20"/>
        </w:rPr>
        <w:t>its m</w:t>
      </w:r>
      <w:r w:rsidR="00312351" w:rsidRPr="00A72210">
        <w:rPr>
          <w:rFonts w:ascii="Times New Roman" w:eastAsia="宋体" w:hAnsi="Times New Roman" w:cs="Times New Roman"/>
          <w:b/>
          <w:bCs/>
          <w:kern w:val="0"/>
          <w:sz w:val="20"/>
          <w:szCs w:val="20"/>
        </w:rPr>
        <w:t>obile attribute to UEs</w:t>
      </w:r>
      <w:r w:rsidR="00312351">
        <w:rPr>
          <w:rFonts w:ascii="Times New Roman" w:eastAsia="宋体" w:hAnsi="Times New Roman" w:cs="Times New Roman"/>
          <w:b/>
          <w:bCs/>
          <w:kern w:val="0"/>
          <w:sz w:val="20"/>
          <w:szCs w:val="20"/>
        </w:rPr>
        <w:t xml:space="preserve">, </w:t>
      </w:r>
      <w:bookmarkStart w:id="5" w:name="_Hlk110845691"/>
      <w:r w:rsidR="00312351">
        <w:rPr>
          <w:rFonts w:ascii="Times New Roman" w:eastAsia="宋体" w:hAnsi="Times New Roman" w:cs="Times New Roman"/>
          <w:b/>
          <w:bCs/>
          <w:kern w:val="0"/>
          <w:sz w:val="20"/>
          <w:szCs w:val="20"/>
        </w:rPr>
        <w:t>e.g., via SIB1</w:t>
      </w:r>
      <w:bookmarkEnd w:id="5"/>
      <w:r w:rsidR="00312351">
        <w:rPr>
          <w:rFonts w:ascii="Times New Roman" w:eastAsia="宋体" w:hAnsi="Times New Roman" w:cs="Times New Roman"/>
          <w:b/>
          <w:bCs/>
          <w:kern w:val="0"/>
          <w:sz w:val="20"/>
          <w:szCs w:val="20"/>
        </w:rPr>
        <w:t>.</w:t>
      </w:r>
    </w:p>
    <w:p w14:paraId="0E82DCB8" w14:textId="77777777" w:rsidR="00FF6205" w:rsidRPr="00592A23" w:rsidRDefault="00FF6205" w:rsidP="00FF6205">
      <w:pPr>
        <w:widowControl/>
        <w:overflowPunct w:val="0"/>
        <w:autoSpaceDE w:val="0"/>
        <w:autoSpaceDN w:val="0"/>
        <w:adjustRightInd w:val="0"/>
        <w:spacing w:beforeLines="50" w:before="120" w:after="180"/>
        <w:textAlignment w:val="baseline"/>
        <w:rPr>
          <w:rFonts w:ascii="Times New Roman" w:eastAsia="宋体" w:hAnsi="Times New Roman" w:cs="Times New Roman"/>
          <w:b/>
          <w:bCs/>
          <w:kern w:val="0"/>
          <w:sz w:val="22"/>
          <w:u w:val="single"/>
        </w:rPr>
      </w:pPr>
      <w:r>
        <w:rPr>
          <w:rFonts w:ascii="Times New Roman" w:eastAsia="宋体" w:hAnsi="Times New Roman" w:cs="Times New Roman"/>
          <w:b/>
          <w:bCs/>
          <w:kern w:val="0"/>
          <w:sz w:val="22"/>
          <w:u w:val="single"/>
        </w:rPr>
        <w:t>M</w:t>
      </w:r>
      <w:r w:rsidRPr="00576785">
        <w:rPr>
          <w:rFonts w:ascii="Times New Roman" w:eastAsia="宋体" w:hAnsi="Times New Roman" w:cs="Times New Roman"/>
          <w:b/>
          <w:bCs/>
          <w:kern w:val="0"/>
          <w:sz w:val="22"/>
          <w:u w:val="single"/>
        </w:rPr>
        <w:t xml:space="preserve">obility of </w:t>
      </w:r>
      <w:r>
        <w:rPr>
          <w:rFonts w:ascii="Times New Roman" w:eastAsia="宋体" w:hAnsi="Times New Roman" w:cs="Times New Roman"/>
          <w:b/>
          <w:bCs/>
          <w:kern w:val="0"/>
          <w:sz w:val="22"/>
          <w:u w:val="single"/>
        </w:rPr>
        <w:t xml:space="preserve">mobile </w:t>
      </w:r>
      <w:r w:rsidRPr="00576785">
        <w:rPr>
          <w:rFonts w:ascii="Times New Roman" w:eastAsia="宋体" w:hAnsi="Times New Roman" w:cs="Times New Roman"/>
          <w:b/>
          <w:bCs/>
          <w:kern w:val="0"/>
          <w:sz w:val="22"/>
          <w:u w:val="single"/>
        </w:rPr>
        <w:t>IAB-node together with its served UEs</w:t>
      </w:r>
    </w:p>
    <w:p w14:paraId="4D5A37F0" w14:textId="77777777" w:rsidR="00FF6205" w:rsidRDefault="00FF6205" w:rsidP="00FF6205">
      <w:pPr>
        <w:widowControl/>
        <w:overflowPunct w:val="0"/>
        <w:autoSpaceDE w:val="0"/>
        <w:autoSpaceDN w:val="0"/>
        <w:adjustRightInd w:val="0"/>
        <w:spacing w:after="120"/>
        <w:jc w:val="center"/>
        <w:textAlignment w:val="baseline"/>
      </w:pPr>
      <w:r>
        <w:object w:dxaOrig="5301" w:dyaOrig="3931" w14:anchorId="4D4791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pt;height:143.5pt" o:ole="">
            <v:imagedata r:id="rId7" o:title=""/>
          </v:shape>
          <o:OLEObject Type="Embed" ProgID="Visio.Drawing.15" ShapeID="_x0000_i1025" DrawAspect="Content" ObjectID="_1721544704" r:id="rId8"/>
        </w:object>
      </w:r>
    </w:p>
    <w:p w14:paraId="1920DBC4" w14:textId="77777777" w:rsidR="00FF6205" w:rsidRPr="005750E7" w:rsidRDefault="00FF6205" w:rsidP="00FF6205">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sidRPr="001C3355">
        <w:rPr>
          <w:rFonts w:ascii="Times New Roman" w:hAnsi="Times New Roman" w:cs="Times New Roman"/>
          <w:sz w:val="20"/>
          <w:szCs w:val="20"/>
        </w:rPr>
        <w:t xml:space="preserve">Figure 1. Example of </w:t>
      </w:r>
      <w:r>
        <w:rPr>
          <w:rFonts w:ascii="Times New Roman" w:hAnsi="Times New Roman" w:cs="Times New Roman"/>
          <w:sz w:val="20"/>
          <w:szCs w:val="20"/>
        </w:rPr>
        <w:t>inter-donor migration of mobile IAB-node and its served UE</w:t>
      </w:r>
    </w:p>
    <w:p w14:paraId="1C9B9F0F" w14:textId="02322C1C" w:rsidR="00FF6205" w:rsidRDefault="00FF6205" w:rsidP="00FF6205">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 xml:space="preserve">s shown in Figure 1, the IAB-MT of mobile IAB-node migrates from source IAB-donor1 to target IAB-donor2, and the mobile IAB-node has two logical IAB-DUs that IAB-DU1 </w:t>
      </w:r>
      <w:r w:rsidR="00BC28F3">
        <w:rPr>
          <w:rFonts w:ascii="Times New Roman" w:eastAsia="宋体" w:hAnsi="Times New Roman" w:cs="Times New Roman"/>
          <w:kern w:val="0"/>
          <w:sz w:val="20"/>
          <w:szCs w:val="20"/>
        </w:rPr>
        <w:t xml:space="preserve">terminated </w:t>
      </w:r>
      <w:r>
        <w:rPr>
          <w:rFonts w:ascii="Times New Roman" w:eastAsia="宋体" w:hAnsi="Times New Roman" w:cs="Times New Roman"/>
          <w:kern w:val="0"/>
          <w:sz w:val="20"/>
          <w:szCs w:val="20"/>
        </w:rPr>
        <w:t xml:space="preserve">at IAB-donor-CU1 and IAB-DU2 </w:t>
      </w:r>
      <w:r w:rsidR="00BC28F3">
        <w:rPr>
          <w:rFonts w:ascii="Times New Roman" w:eastAsia="宋体" w:hAnsi="Times New Roman" w:cs="Times New Roman"/>
          <w:kern w:val="0"/>
          <w:sz w:val="20"/>
          <w:szCs w:val="20"/>
        </w:rPr>
        <w:t xml:space="preserve">terminated </w:t>
      </w:r>
      <w:r>
        <w:rPr>
          <w:rFonts w:ascii="Times New Roman" w:eastAsia="宋体" w:hAnsi="Times New Roman" w:cs="Times New Roman"/>
          <w:kern w:val="0"/>
          <w:sz w:val="20"/>
          <w:szCs w:val="20"/>
        </w:rPr>
        <w:t>at IAB-donor-CU2. As for a served UE of the mobile IAB-node, it performs migration from IAB-DU1 to IAB-DU2.</w:t>
      </w:r>
    </w:p>
    <w:p w14:paraId="1931C669" w14:textId="77777777" w:rsidR="00FF6205" w:rsidRDefault="00FF6205" w:rsidP="00FF6205">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In legacy handover procedure, gNB triggers handover for UE based on the measurement report and sends the Handover Request to target gNB with the information of target cell ID. While for the group mobility of the mobile IAB-node and its served UEs, the served UEs and IAB-MT shall perform migration together from source IAB-donor1 to target IAB-donor2. To realize the group mobility, cells in the IAB-DU2 shall be activated before IAB-MT migration, which means F1 interface shall be setup between IAB-DU2 and IAB-donor-CU2 before IAB-MT migration.</w:t>
      </w:r>
    </w:p>
    <w:p w14:paraId="25957A52" w14:textId="11BC6E9D" w:rsidR="00FF6205" w:rsidRPr="00276074" w:rsidRDefault="00FF6205" w:rsidP="00FF6205">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276074">
        <w:rPr>
          <w:rFonts w:ascii="Times New Roman" w:eastAsia="宋体" w:hAnsi="Times New Roman" w:cs="Times New Roman" w:hint="eastAsia"/>
          <w:b/>
          <w:bCs/>
          <w:kern w:val="0"/>
          <w:sz w:val="20"/>
          <w:szCs w:val="20"/>
        </w:rPr>
        <w:t>P</w:t>
      </w:r>
      <w:r w:rsidRPr="00276074">
        <w:rPr>
          <w:rFonts w:ascii="Times New Roman" w:eastAsia="宋体" w:hAnsi="Times New Roman" w:cs="Times New Roman"/>
          <w:b/>
          <w:bCs/>
          <w:kern w:val="0"/>
          <w:sz w:val="20"/>
          <w:szCs w:val="20"/>
        </w:rPr>
        <w:t xml:space="preserve">roposal </w:t>
      </w:r>
      <w:r w:rsidR="008E4EEB">
        <w:rPr>
          <w:rFonts w:ascii="Times New Roman" w:eastAsia="宋体" w:hAnsi="Times New Roman" w:cs="Times New Roman"/>
          <w:b/>
          <w:bCs/>
          <w:kern w:val="0"/>
          <w:sz w:val="20"/>
          <w:szCs w:val="20"/>
        </w:rPr>
        <w:t>4</w:t>
      </w:r>
      <w:r w:rsidRPr="00276074">
        <w:rPr>
          <w:rFonts w:ascii="Times New Roman" w:eastAsia="宋体" w:hAnsi="Times New Roman" w:cs="Times New Roman"/>
          <w:b/>
          <w:bCs/>
          <w:kern w:val="0"/>
          <w:sz w:val="20"/>
          <w:szCs w:val="20"/>
        </w:rPr>
        <w:t xml:space="preserve">: </w:t>
      </w:r>
      <w:bookmarkStart w:id="6" w:name="_Hlk110845840"/>
      <w:r>
        <w:rPr>
          <w:rFonts w:ascii="Times New Roman" w:eastAsia="宋体" w:hAnsi="Times New Roman" w:cs="Times New Roman"/>
          <w:b/>
          <w:bCs/>
          <w:kern w:val="0"/>
          <w:sz w:val="20"/>
          <w:szCs w:val="20"/>
        </w:rPr>
        <w:t xml:space="preserve">Mobile IAB-node can perform group mobility only when </w:t>
      </w:r>
      <w:r w:rsidRPr="0093163A">
        <w:rPr>
          <w:rFonts w:ascii="Times New Roman" w:eastAsia="宋体" w:hAnsi="Times New Roman" w:cs="Times New Roman"/>
          <w:b/>
          <w:bCs/>
          <w:kern w:val="0"/>
          <w:sz w:val="20"/>
          <w:szCs w:val="20"/>
        </w:rPr>
        <w:t xml:space="preserve">F1 interface between IAB-DU2 and </w:t>
      </w:r>
      <w:r>
        <w:rPr>
          <w:rFonts w:ascii="Times New Roman" w:eastAsia="宋体" w:hAnsi="Times New Roman" w:cs="Times New Roman"/>
          <w:b/>
          <w:bCs/>
          <w:kern w:val="0"/>
          <w:sz w:val="20"/>
          <w:szCs w:val="20"/>
        </w:rPr>
        <w:t xml:space="preserve">target </w:t>
      </w:r>
      <w:r w:rsidRPr="0093163A">
        <w:rPr>
          <w:rFonts w:ascii="Times New Roman" w:eastAsia="宋体" w:hAnsi="Times New Roman" w:cs="Times New Roman"/>
          <w:b/>
          <w:bCs/>
          <w:kern w:val="0"/>
          <w:sz w:val="20"/>
          <w:szCs w:val="20"/>
        </w:rPr>
        <w:t>IAB-donor-CU</w:t>
      </w:r>
      <w:r w:rsidR="005B58A7">
        <w:rPr>
          <w:rFonts w:ascii="Times New Roman" w:eastAsia="宋体" w:hAnsi="Times New Roman" w:cs="Times New Roman"/>
          <w:b/>
          <w:bCs/>
          <w:kern w:val="0"/>
          <w:sz w:val="20"/>
          <w:szCs w:val="20"/>
        </w:rPr>
        <w:t xml:space="preserve"> is setup</w:t>
      </w:r>
      <w:r w:rsidRPr="0093163A">
        <w:rPr>
          <w:rFonts w:ascii="Times New Roman" w:eastAsia="宋体" w:hAnsi="Times New Roman" w:cs="Times New Roman"/>
          <w:b/>
          <w:bCs/>
          <w:kern w:val="0"/>
          <w:sz w:val="20"/>
          <w:szCs w:val="20"/>
        </w:rPr>
        <w:t xml:space="preserve"> before IAB-MT migration</w:t>
      </w:r>
      <w:r w:rsidR="005B58A7">
        <w:rPr>
          <w:rFonts w:ascii="Times New Roman" w:eastAsia="宋体" w:hAnsi="Times New Roman" w:cs="Times New Roman"/>
          <w:b/>
          <w:bCs/>
          <w:kern w:val="0"/>
          <w:sz w:val="20"/>
          <w:szCs w:val="20"/>
        </w:rPr>
        <w:t xml:space="preserve"> e.g.</w:t>
      </w:r>
      <w:r w:rsidR="008E4EEB">
        <w:rPr>
          <w:rFonts w:ascii="Times New Roman" w:eastAsia="宋体" w:hAnsi="Times New Roman" w:cs="Times New Roman"/>
          <w:b/>
          <w:bCs/>
          <w:kern w:val="0"/>
          <w:sz w:val="20"/>
          <w:szCs w:val="20"/>
        </w:rPr>
        <w:t>,</w:t>
      </w:r>
      <w:r w:rsidR="005B58A7">
        <w:rPr>
          <w:rFonts w:ascii="Times New Roman" w:eastAsia="宋体" w:hAnsi="Times New Roman" w:cs="Times New Roman"/>
          <w:b/>
          <w:bCs/>
          <w:kern w:val="0"/>
          <w:sz w:val="20"/>
          <w:szCs w:val="20"/>
        </w:rPr>
        <w:t xml:space="preserve"> due to the target cell in the IAB-DU2 should be activated before </w:t>
      </w:r>
      <w:r w:rsidR="008E4EEB">
        <w:rPr>
          <w:rFonts w:ascii="Times New Roman" w:eastAsia="宋体" w:hAnsi="Times New Roman" w:cs="Times New Roman"/>
          <w:b/>
          <w:bCs/>
          <w:kern w:val="0"/>
          <w:sz w:val="20"/>
          <w:szCs w:val="20"/>
        </w:rPr>
        <w:t>UE</w:t>
      </w:r>
      <w:r w:rsidR="005B58A7">
        <w:rPr>
          <w:rFonts w:ascii="Times New Roman" w:eastAsia="宋体" w:hAnsi="Times New Roman" w:cs="Times New Roman"/>
          <w:b/>
          <w:bCs/>
          <w:kern w:val="0"/>
          <w:sz w:val="20"/>
          <w:szCs w:val="20"/>
        </w:rPr>
        <w:t xml:space="preserve"> migration</w:t>
      </w:r>
      <w:r>
        <w:rPr>
          <w:rFonts w:ascii="Times New Roman" w:eastAsia="宋体" w:hAnsi="Times New Roman" w:cs="Times New Roman"/>
          <w:b/>
          <w:bCs/>
          <w:kern w:val="0"/>
          <w:sz w:val="20"/>
          <w:szCs w:val="20"/>
        </w:rPr>
        <w:t>.</w:t>
      </w:r>
      <w:bookmarkEnd w:id="6"/>
    </w:p>
    <w:p w14:paraId="72825CE6" w14:textId="04EC49C4" w:rsidR="00FF6205" w:rsidRDefault="00FF6205" w:rsidP="00FF6205">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 xml:space="preserve">or the group mobility, message for handover of IAB-MT and served UEs can be bundled together in XnAP. For example, a </w:t>
      </w:r>
      <w:r w:rsidR="00C11C51">
        <w:rPr>
          <w:rFonts w:ascii="Times New Roman" w:eastAsia="宋体" w:hAnsi="Times New Roman" w:cs="Times New Roman"/>
          <w:kern w:val="0"/>
          <w:sz w:val="20"/>
          <w:szCs w:val="20"/>
        </w:rPr>
        <w:t xml:space="preserve">group-based </w:t>
      </w:r>
      <w:r>
        <w:rPr>
          <w:rFonts w:ascii="Times New Roman" w:eastAsia="宋体" w:hAnsi="Times New Roman" w:cs="Times New Roman"/>
          <w:kern w:val="0"/>
          <w:sz w:val="20"/>
          <w:szCs w:val="20"/>
        </w:rPr>
        <w:t>Handover Request and Handover Request Acknowledge are used for IAB-MT and all related served UEs. Based on the group-based Handover Request from source IAB-donor-CU, the target IAB-donor-CU can configure the BH resource for the served UEs together.</w:t>
      </w:r>
    </w:p>
    <w:p w14:paraId="0E32DDD7" w14:textId="7E85BFE1" w:rsidR="00FF6205" w:rsidRDefault="00FF6205" w:rsidP="00FF6205">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E13436">
        <w:rPr>
          <w:rFonts w:ascii="Times New Roman" w:eastAsia="宋体" w:hAnsi="Times New Roman" w:cs="Times New Roman" w:hint="eastAsia"/>
          <w:b/>
          <w:bCs/>
          <w:kern w:val="0"/>
          <w:sz w:val="20"/>
          <w:szCs w:val="20"/>
        </w:rPr>
        <w:t>P</w:t>
      </w:r>
      <w:r w:rsidRPr="00E13436">
        <w:rPr>
          <w:rFonts w:ascii="Times New Roman" w:eastAsia="宋体" w:hAnsi="Times New Roman" w:cs="Times New Roman"/>
          <w:b/>
          <w:bCs/>
          <w:kern w:val="0"/>
          <w:sz w:val="20"/>
          <w:szCs w:val="20"/>
        </w:rPr>
        <w:t xml:space="preserve">roposal </w:t>
      </w:r>
      <w:r w:rsidR="00300908">
        <w:rPr>
          <w:rFonts w:ascii="Times New Roman" w:eastAsia="宋体" w:hAnsi="Times New Roman" w:cs="Times New Roman"/>
          <w:b/>
          <w:bCs/>
          <w:kern w:val="0"/>
          <w:sz w:val="20"/>
          <w:szCs w:val="20"/>
        </w:rPr>
        <w:t>5</w:t>
      </w:r>
      <w:r w:rsidRPr="00E13436">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For group mobility, a</w:t>
      </w:r>
      <w:r w:rsidRPr="00E13436">
        <w:rPr>
          <w:rFonts w:ascii="Times New Roman" w:eastAsia="宋体" w:hAnsi="Times New Roman" w:cs="Times New Roman"/>
          <w:b/>
          <w:bCs/>
          <w:kern w:val="0"/>
          <w:sz w:val="20"/>
          <w:szCs w:val="20"/>
        </w:rPr>
        <w:t xml:space="preserve"> </w:t>
      </w:r>
      <w:r w:rsidR="00FA00C8">
        <w:rPr>
          <w:rFonts w:ascii="Times New Roman" w:eastAsia="宋体" w:hAnsi="Times New Roman" w:cs="Times New Roman"/>
          <w:b/>
          <w:bCs/>
          <w:kern w:val="0"/>
          <w:sz w:val="20"/>
          <w:szCs w:val="20"/>
        </w:rPr>
        <w:t>group-based</w:t>
      </w:r>
      <w:r w:rsidR="00FA00C8" w:rsidRPr="00E13436">
        <w:rPr>
          <w:rFonts w:ascii="Times New Roman" w:eastAsia="宋体" w:hAnsi="Times New Roman" w:cs="Times New Roman"/>
          <w:b/>
          <w:bCs/>
          <w:kern w:val="0"/>
          <w:sz w:val="20"/>
          <w:szCs w:val="20"/>
        </w:rPr>
        <w:t xml:space="preserve"> </w:t>
      </w:r>
      <w:r w:rsidRPr="00E13436">
        <w:rPr>
          <w:rFonts w:ascii="Times New Roman" w:eastAsia="宋体" w:hAnsi="Times New Roman" w:cs="Times New Roman"/>
          <w:b/>
          <w:bCs/>
          <w:kern w:val="0"/>
          <w:sz w:val="20"/>
          <w:szCs w:val="20"/>
        </w:rPr>
        <w:t>Handover Request and Handover Request Acknowledge are used for IAB-MT and all related served UEs.</w:t>
      </w:r>
    </w:p>
    <w:p w14:paraId="2A5031EC" w14:textId="61980399" w:rsidR="00300908" w:rsidRPr="007A7E72" w:rsidRDefault="007A7E72" w:rsidP="00FF6205">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For</w:t>
      </w:r>
      <w:r>
        <w:rPr>
          <w:rFonts w:ascii="Times New Roman" w:eastAsia="宋体" w:hAnsi="Times New Roman" w:cs="Times New Roman"/>
          <w:kern w:val="0"/>
          <w:sz w:val="20"/>
          <w:szCs w:val="20"/>
        </w:rPr>
        <w:t xml:space="preserve"> all the served UEs handover to target IAB-donor-CU together with the mobile IAB-node, target IAB-donor-CU shall perform UE context setup for each UE with the target IAB-DU2. </w:t>
      </w:r>
      <w:r w:rsidR="00C11C51">
        <w:rPr>
          <w:rFonts w:ascii="Times New Roman" w:eastAsia="宋体" w:hAnsi="Times New Roman" w:cs="Times New Roman"/>
          <w:kern w:val="0"/>
          <w:sz w:val="20"/>
          <w:szCs w:val="20"/>
        </w:rPr>
        <w:t xml:space="preserve">To simplify the procedure, the UE context setup for all served UEs may be bundled together in F1AP. For example, a group-based, non-UE associated F1AP procedure is introduced between IAB-donor-CU and IAB-DU for UE context setup for all served UEs of mobile IAB-node. </w:t>
      </w:r>
    </w:p>
    <w:p w14:paraId="6D29850D" w14:textId="2F3FAF75" w:rsidR="00D76857" w:rsidRPr="00E13436" w:rsidRDefault="00D76857" w:rsidP="00FF6205">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P</w:t>
      </w:r>
      <w:r>
        <w:rPr>
          <w:rFonts w:ascii="Times New Roman" w:eastAsia="宋体" w:hAnsi="Times New Roman" w:cs="Times New Roman"/>
          <w:b/>
          <w:bCs/>
          <w:kern w:val="0"/>
          <w:sz w:val="20"/>
          <w:szCs w:val="20"/>
        </w:rPr>
        <w:t>rop</w:t>
      </w:r>
      <w:r w:rsidR="00300908">
        <w:rPr>
          <w:rFonts w:ascii="Times New Roman" w:eastAsia="宋体" w:hAnsi="Times New Roman" w:cs="Times New Roman"/>
          <w:b/>
          <w:bCs/>
          <w:kern w:val="0"/>
          <w:sz w:val="20"/>
          <w:szCs w:val="20"/>
        </w:rPr>
        <w:t>o</w:t>
      </w:r>
      <w:r>
        <w:rPr>
          <w:rFonts w:ascii="Times New Roman" w:eastAsia="宋体" w:hAnsi="Times New Roman" w:cs="Times New Roman"/>
          <w:b/>
          <w:bCs/>
          <w:kern w:val="0"/>
          <w:sz w:val="20"/>
          <w:szCs w:val="20"/>
        </w:rPr>
        <w:t xml:space="preserve">sal </w:t>
      </w:r>
      <w:r w:rsidR="00300908">
        <w:rPr>
          <w:rFonts w:ascii="Times New Roman" w:eastAsia="宋体" w:hAnsi="Times New Roman" w:cs="Times New Roman"/>
          <w:b/>
          <w:bCs/>
          <w:kern w:val="0"/>
          <w:sz w:val="20"/>
          <w:szCs w:val="20"/>
        </w:rPr>
        <w:t>6: For group mobility,</w:t>
      </w:r>
      <w:r w:rsidR="00785418">
        <w:rPr>
          <w:rFonts w:ascii="Times New Roman" w:eastAsia="宋体" w:hAnsi="Times New Roman" w:cs="Times New Roman"/>
          <w:b/>
          <w:bCs/>
          <w:kern w:val="0"/>
          <w:sz w:val="20"/>
          <w:szCs w:val="20"/>
        </w:rPr>
        <w:t xml:space="preserve"> RAN3</w:t>
      </w:r>
      <w:r w:rsidR="00300908">
        <w:rPr>
          <w:rFonts w:ascii="Times New Roman" w:eastAsia="宋体" w:hAnsi="Times New Roman" w:cs="Times New Roman"/>
          <w:b/>
          <w:bCs/>
          <w:kern w:val="0"/>
          <w:sz w:val="20"/>
          <w:szCs w:val="20"/>
        </w:rPr>
        <w:t xml:space="preserve"> </w:t>
      </w:r>
      <w:r w:rsidR="00785418">
        <w:rPr>
          <w:rFonts w:ascii="Times New Roman" w:eastAsia="宋体" w:hAnsi="Times New Roman" w:cs="Times New Roman"/>
          <w:b/>
          <w:bCs/>
          <w:kern w:val="0"/>
          <w:sz w:val="20"/>
          <w:szCs w:val="20"/>
        </w:rPr>
        <w:t>defines a new non-UE associated F1AP procedure</w:t>
      </w:r>
      <w:r w:rsidR="00300908">
        <w:rPr>
          <w:rFonts w:ascii="Times New Roman" w:eastAsia="宋体" w:hAnsi="Times New Roman" w:cs="Times New Roman"/>
          <w:b/>
          <w:bCs/>
          <w:kern w:val="0"/>
          <w:sz w:val="20"/>
          <w:szCs w:val="20"/>
        </w:rPr>
        <w:t xml:space="preserve"> </w:t>
      </w:r>
      <w:r w:rsidR="00785418">
        <w:rPr>
          <w:rFonts w:ascii="Times New Roman" w:eastAsia="宋体" w:hAnsi="Times New Roman" w:cs="Times New Roman"/>
          <w:b/>
          <w:bCs/>
          <w:kern w:val="0"/>
          <w:sz w:val="20"/>
          <w:szCs w:val="20"/>
        </w:rPr>
        <w:t xml:space="preserve">for </w:t>
      </w:r>
      <w:r>
        <w:rPr>
          <w:rFonts w:ascii="Times New Roman" w:eastAsia="宋体" w:hAnsi="Times New Roman" w:cs="Times New Roman"/>
          <w:b/>
          <w:bCs/>
          <w:kern w:val="0"/>
          <w:sz w:val="20"/>
          <w:szCs w:val="20"/>
        </w:rPr>
        <w:t>group</w:t>
      </w:r>
      <w:r w:rsidR="00300908">
        <w:rPr>
          <w:rFonts w:ascii="Times New Roman" w:eastAsia="宋体" w:hAnsi="Times New Roman" w:cs="Times New Roman"/>
          <w:b/>
          <w:bCs/>
          <w:kern w:val="0"/>
          <w:sz w:val="20"/>
          <w:szCs w:val="20"/>
        </w:rPr>
        <w:t>-</w:t>
      </w:r>
      <w:r>
        <w:rPr>
          <w:rFonts w:ascii="Times New Roman" w:eastAsia="宋体" w:hAnsi="Times New Roman" w:cs="Times New Roman"/>
          <w:b/>
          <w:bCs/>
          <w:kern w:val="0"/>
          <w:sz w:val="20"/>
          <w:szCs w:val="20"/>
        </w:rPr>
        <w:t>based UE context setup for</w:t>
      </w:r>
      <w:r w:rsidR="00300908">
        <w:rPr>
          <w:rFonts w:ascii="Times New Roman" w:eastAsia="宋体" w:hAnsi="Times New Roman" w:cs="Times New Roman"/>
          <w:b/>
          <w:bCs/>
          <w:kern w:val="0"/>
          <w:sz w:val="20"/>
          <w:szCs w:val="20"/>
        </w:rPr>
        <w:t xml:space="preserve"> all served UE of mobile IAB-node.</w:t>
      </w:r>
    </w:p>
    <w:p w14:paraId="5075455D" w14:textId="2378FE73" w:rsidR="00FF6205" w:rsidRDefault="00FF6205" w:rsidP="00FF6205">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sidRPr="00AA3CB7">
        <w:rPr>
          <w:rFonts w:ascii="Times New Roman" w:eastAsia="宋体" w:hAnsi="Times New Roman" w:cs="Times New Roman"/>
          <w:kern w:val="0"/>
          <w:sz w:val="20"/>
          <w:szCs w:val="20"/>
        </w:rPr>
        <w:t xml:space="preserve">As for the </w:t>
      </w:r>
      <w:r>
        <w:rPr>
          <w:rFonts w:ascii="Times New Roman" w:eastAsia="宋体" w:hAnsi="Times New Roman" w:cs="Times New Roman"/>
          <w:kern w:val="0"/>
          <w:sz w:val="20"/>
          <w:szCs w:val="20"/>
        </w:rPr>
        <w:t xml:space="preserve">served </w:t>
      </w:r>
      <w:r w:rsidRPr="00AA3CB7">
        <w:rPr>
          <w:rFonts w:ascii="Times New Roman" w:eastAsia="宋体" w:hAnsi="Times New Roman" w:cs="Times New Roman"/>
          <w:kern w:val="0"/>
          <w:sz w:val="20"/>
          <w:szCs w:val="20"/>
        </w:rPr>
        <w:t>UEs of mobile IAB-node, since</w:t>
      </w:r>
      <w:r>
        <w:rPr>
          <w:rFonts w:ascii="Times New Roman" w:eastAsia="宋体" w:hAnsi="Times New Roman" w:cs="Times New Roman"/>
          <w:kern w:val="0"/>
          <w:sz w:val="20"/>
          <w:szCs w:val="20"/>
        </w:rPr>
        <w:t xml:space="preserve"> IAB-DU1 and IAB-DU2 are co-located physically and</w:t>
      </w:r>
      <w:r w:rsidRPr="00AA3CB7">
        <w:rPr>
          <w:rFonts w:ascii="Times New Roman" w:eastAsia="宋体" w:hAnsi="Times New Roman" w:cs="Times New Roman"/>
          <w:kern w:val="0"/>
          <w:sz w:val="20"/>
          <w:szCs w:val="20"/>
        </w:rPr>
        <w:t xml:space="preserve"> the serving </w:t>
      </w:r>
      <w:r>
        <w:rPr>
          <w:rFonts w:ascii="Times New Roman" w:eastAsia="宋体" w:hAnsi="Times New Roman" w:cs="Times New Roman"/>
          <w:kern w:val="0"/>
          <w:sz w:val="20"/>
          <w:szCs w:val="20"/>
        </w:rPr>
        <w:t xml:space="preserve">mobile </w:t>
      </w:r>
      <w:r w:rsidRPr="00AA3CB7">
        <w:rPr>
          <w:rFonts w:ascii="Times New Roman" w:eastAsia="宋体" w:hAnsi="Times New Roman" w:cs="Times New Roman"/>
          <w:kern w:val="0"/>
          <w:sz w:val="20"/>
          <w:szCs w:val="20"/>
        </w:rPr>
        <w:t>IAB-node doesn’t change</w:t>
      </w:r>
      <w:r>
        <w:rPr>
          <w:rFonts w:ascii="Times New Roman" w:eastAsia="宋体" w:hAnsi="Times New Roman" w:cs="Times New Roman"/>
          <w:kern w:val="0"/>
          <w:sz w:val="20"/>
          <w:szCs w:val="20"/>
        </w:rPr>
        <w:t xml:space="preserve"> for UE</w:t>
      </w:r>
      <w:r w:rsidRPr="00AA3CB7">
        <w:rPr>
          <w:rFonts w:ascii="Times New Roman" w:eastAsia="宋体" w:hAnsi="Times New Roman" w:cs="Times New Roman"/>
          <w:kern w:val="0"/>
          <w:sz w:val="20"/>
          <w:szCs w:val="20"/>
        </w:rPr>
        <w:t xml:space="preserve"> during the whole </w:t>
      </w:r>
      <w:r>
        <w:rPr>
          <w:rFonts w:ascii="Times New Roman" w:eastAsia="宋体" w:hAnsi="Times New Roman" w:cs="Times New Roman"/>
          <w:kern w:val="0"/>
          <w:sz w:val="20"/>
          <w:szCs w:val="20"/>
        </w:rPr>
        <w:t xml:space="preserve">full </w:t>
      </w:r>
      <w:r w:rsidRPr="00AA3CB7">
        <w:rPr>
          <w:rFonts w:ascii="Times New Roman" w:eastAsia="宋体" w:hAnsi="Times New Roman" w:cs="Times New Roman"/>
          <w:kern w:val="0"/>
          <w:sz w:val="20"/>
          <w:szCs w:val="20"/>
        </w:rPr>
        <w:t>migration procedure</w:t>
      </w:r>
      <w:r>
        <w:rPr>
          <w:rFonts w:ascii="Times New Roman" w:eastAsia="宋体" w:hAnsi="Times New Roman" w:cs="Times New Roman"/>
          <w:kern w:val="0"/>
          <w:sz w:val="20"/>
          <w:szCs w:val="20"/>
        </w:rPr>
        <w:t xml:space="preserve">, which means the air interface between the UE and the mobile IAB-node may be maintained. </w:t>
      </w:r>
    </w:p>
    <w:p w14:paraId="3DF2ECD5" w14:textId="16716ABA" w:rsidR="00FF6205" w:rsidRDefault="00FF6205" w:rsidP="00FF6205">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 xml:space="preserve">or example, the physical location between UE and mobile IAB-node may not change during the migration, and the </w:t>
      </w:r>
      <w:r>
        <w:rPr>
          <w:rFonts w:ascii="Times New Roman" w:hAnsi="Times New Roman" w:cs="Times New Roman"/>
          <w:sz w:val="20"/>
          <w:szCs w:val="20"/>
          <w:lang w:val="en-GB"/>
        </w:rPr>
        <w:t xml:space="preserve">timing </w:t>
      </w:r>
      <w:r w:rsidR="00766B27">
        <w:rPr>
          <w:rFonts w:ascii="Times New Roman" w:hAnsi="Times New Roman" w:cs="Times New Roman"/>
          <w:sz w:val="20"/>
          <w:szCs w:val="20"/>
          <w:lang w:val="en-GB"/>
        </w:rPr>
        <w:t xml:space="preserve">advance </w:t>
      </w:r>
      <w:r>
        <w:rPr>
          <w:rFonts w:ascii="Times New Roman" w:eastAsia="宋体" w:hAnsi="Times New Roman" w:cs="Times New Roman"/>
          <w:kern w:val="0"/>
          <w:sz w:val="20"/>
          <w:szCs w:val="20"/>
        </w:rPr>
        <w:t xml:space="preserve">may not need to be regained via the RACH procedure. And the UE only needs to be reconfigured with the key and </w:t>
      </w:r>
      <w:r>
        <w:rPr>
          <w:rFonts w:ascii="Times New Roman" w:hAnsi="Times New Roman" w:cs="Times New Roman"/>
          <w:sz w:val="20"/>
          <w:szCs w:val="20"/>
          <w:lang w:val="en-GB"/>
        </w:rPr>
        <w:t>security algorithms to be used in the target IAB-donor. In addition, the handover of UE to the target cell in IAB-DU2 may be performed without the measurement report.</w:t>
      </w:r>
    </w:p>
    <w:p w14:paraId="2B747E5F" w14:textId="710E6675" w:rsidR="00FF6205" w:rsidRPr="00D95016" w:rsidRDefault="00FF6205" w:rsidP="00FF6205">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sidRPr="00F017C8">
        <w:rPr>
          <w:rFonts w:ascii="Times New Roman" w:eastAsia="宋体" w:hAnsi="Times New Roman" w:cs="Times New Roman" w:hint="eastAsia"/>
          <w:b/>
          <w:bCs/>
          <w:kern w:val="0"/>
          <w:sz w:val="20"/>
          <w:szCs w:val="20"/>
        </w:rPr>
        <w:lastRenderedPageBreak/>
        <w:t>P</w:t>
      </w:r>
      <w:r w:rsidRPr="00F017C8">
        <w:rPr>
          <w:rFonts w:ascii="Times New Roman" w:eastAsia="宋体" w:hAnsi="Times New Roman" w:cs="Times New Roman"/>
          <w:b/>
          <w:bCs/>
          <w:kern w:val="0"/>
          <w:sz w:val="20"/>
          <w:szCs w:val="20"/>
        </w:rPr>
        <w:t xml:space="preserve">roposal </w:t>
      </w:r>
      <w:r w:rsidR="002F49BB">
        <w:rPr>
          <w:rFonts w:ascii="Times New Roman" w:eastAsia="宋体" w:hAnsi="Times New Roman" w:cs="Times New Roman"/>
          <w:b/>
          <w:bCs/>
          <w:kern w:val="0"/>
          <w:sz w:val="20"/>
          <w:szCs w:val="20"/>
        </w:rPr>
        <w:t>7</w:t>
      </w:r>
      <w:r w:rsidRPr="00F017C8">
        <w:rPr>
          <w:rFonts w:ascii="Times New Roman" w:eastAsia="宋体" w:hAnsi="Times New Roman" w:cs="Times New Roman"/>
          <w:b/>
          <w:bCs/>
          <w:kern w:val="0"/>
          <w:sz w:val="20"/>
          <w:szCs w:val="20"/>
        </w:rPr>
        <w:t xml:space="preserve">: The served UE of mobile IAB-node may perform handover without RACH </w:t>
      </w:r>
      <w:r w:rsidRPr="00D95016">
        <w:rPr>
          <w:rFonts w:ascii="Times New Roman" w:eastAsia="宋体" w:hAnsi="Times New Roman" w:cs="Times New Roman"/>
          <w:b/>
          <w:bCs/>
          <w:kern w:val="0"/>
          <w:sz w:val="20"/>
          <w:szCs w:val="20"/>
        </w:rPr>
        <w:t>during inter-donor full migration together with the mobile IAB-node.</w:t>
      </w:r>
    </w:p>
    <w:p w14:paraId="583B99FD" w14:textId="77777777" w:rsidR="00FF6205" w:rsidRPr="00592A23" w:rsidRDefault="00FF6205" w:rsidP="00FF6205">
      <w:pPr>
        <w:widowControl/>
        <w:overflowPunct w:val="0"/>
        <w:autoSpaceDE w:val="0"/>
        <w:autoSpaceDN w:val="0"/>
        <w:adjustRightInd w:val="0"/>
        <w:spacing w:beforeLines="50" w:before="120" w:after="180"/>
        <w:textAlignment w:val="baseline"/>
        <w:rPr>
          <w:rFonts w:ascii="Times New Roman" w:eastAsia="宋体" w:hAnsi="Times New Roman" w:cs="Times New Roman"/>
          <w:b/>
          <w:bCs/>
          <w:kern w:val="0"/>
          <w:sz w:val="22"/>
          <w:u w:val="single"/>
        </w:rPr>
      </w:pPr>
      <w:r>
        <w:rPr>
          <w:rFonts w:ascii="Times New Roman" w:eastAsia="宋体" w:hAnsi="Times New Roman" w:cs="Times New Roman"/>
          <w:b/>
          <w:bCs/>
          <w:kern w:val="0"/>
          <w:sz w:val="22"/>
          <w:u w:val="single"/>
        </w:rPr>
        <w:t>Differentiation between onboard UEs and surrounding UEs</w:t>
      </w:r>
    </w:p>
    <w:p w14:paraId="018F5D66" w14:textId="77777777" w:rsidR="00FF6205" w:rsidRDefault="00FF6205" w:rsidP="00FF6205">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For inter-donor full migration due to mobility of the mobile IAB-node, all onboard UEs needs to perform migration together with the mobile IAB-node. While for the surrounding UEs camping on the mobile IAB-node, migration together with the mobile IAB-node is not an optimal choice. Once the surrounding UEs perform migration together with the mobile IAB-node, the measurement result of serving cell become worse gradually due to the mobility of mobile IAB-node, and the surrounding UEs may need to perform handover again within a short time. </w:t>
      </w:r>
    </w:p>
    <w:p w14:paraId="73FEC767" w14:textId="77777777" w:rsidR="00FF6205" w:rsidRPr="002428E4" w:rsidRDefault="00FF6205" w:rsidP="00FF6205">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In addition, as specified in the WID, n</w:t>
      </w:r>
      <w:r w:rsidRPr="00E75FF9">
        <w:rPr>
          <w:rFonts w:ascii="Times New Roman" w:eastAsia="宋体" w:hAnsi="Times New Roman" w:cs="Times New Roman"/>
          <w:kern w:val="0"/>
          <w:sz w:val="20"/>
          <w:szCs w:val="20"/>
        </w:rPr>
        <w:t xml:space="preserve">o optimizations </w:t>
      </w:r>
      <w:r>
        <w:rPr>
          <w:rFonts w:ascii="Times New Roman" w:eastAsia="宋体" w:hAnsi="Times New Roman" w:cs="Times New Roman"/>
          <w:kern w:val="0"/>
          <w:sz w:val="20"/>
          <w:szCs w:val="20"/>
        </w:rPr>
        <w:t xml:space="preserve">are </w:t>
      </w:r>
      <w:r w:rsidRPr="00E75FF9">
        <w:rPr>
          <w:rFonts w:ascii="Times New Roman" w:eastAsia="宋体" w:hAnsi="Times New Roman" w:cs="Times New Roman"/>
          <w:kern w:val="0"/>
          <w:sz w:val="20"/>
          <w:szCs w:val="20"/>
        </w:rPr>
        <w:t>for the targeting of surrounding UEs</w:t>
      </w:r>
      <w:r>
        <w:rPr>
          <w:rFonts w:ascii="Times New Roman" w:eastAsia="宋体" w:hAnsi="Times New Roman" w:cs="Times New Roman"/>
          <w:kern w:val="0"/>
          <w:sz w:val="20"/>
          <w:szCs w:val="20"/>
        </w:rPr>
        <w:t xml:space="preserve">, which means all enhancements related to group mobility are only considered for the onboard UEs. Therefore, it’s necessary to differentiate </w:t>
      </w:r>
      <w:r w:rsidRPr="00FC6BB4">
        <w:rPr>
          <w:rFonts w:ascii="Times New Roman" w:eastAsia="宋体" w:hAnsi="Times New Roman" w:cs="Times New Roman"/>
          <w:kern w:val="0"/>
          <w:sz w:val="20"/>
          <w:szCs w:val="20"/>
        </w:rPr>
        <w:t xml:space="preserve">onboard UEs and surrounding UEs for </w:t>
      </w:r>
      <w:r>
        <w:rPr>
          <w:rFonts w:ascii="Times New Roman" w:eastAsia="宋体" w:hAnsi="Times New Roman" w:cs="Times New Roman"/>
          <w:kern w:val="0"/>
          <w:sz w:val="20"/>
          <w:szCs w:val="20"/>
        </w:rPr>
        <w:t>IAB-donor.</w:t>
      </w:r>
    </w:p>
    <w:p w14:paraId="1034A0D9" w14:textId="356552E6" w:rsidR="00FF6205" w:rsidRPr="00882390" w:rsidRDefault="00FF6205" w:rsidP="00FF6205">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882390">
        <w:rPr>
          <w:rFonts w:ascii="Times New Roman" w:eastAsia="宋体" w:hAnsi="Times New Roman" w:cs="Times New Roman"/>
          <w:b/>
          <w:bCs/>
          <w:kern w:val="0"/>
          <w:sz w:val="20"/>
          <w:szCs w:val="20"/>
        </w:rPr>
        <w:t xml:space="preserve">Proposal </w:t>
      </w:r>
      <w:r w:rsidR="005D003D">
        <w:rPr>
          <w:rFonts w:ascii="Times New Roman" w:eastAsia="宋体" w:hAnsi="Times New Roman" w:cs="Times New Roman"/>
          <w:b/>
          <w:bCs/>
          <w:kern w:val="0"/>
          <w:sz w:val="20"/>
          <w:szCs w:val="20"/>
        </w:rPr>
        <w:t>8</w:t>
      </w:r>
      <w:r w:rsidRPr="00882390">
        <w:rPr>
          <w:rFonts w:ascii="Times New Roman" w:eastAsia="宋体" w:hAnsi="Times New Roman" w:cs="Times New Roman"/>
          <w:b/>
          <w:bCs/>
          <w:kern w:val="0"/>
          <w:sz w:val="20"/>
          <w:szCs w:val="20"/>
        </w:rPr>
        <w:t xml:space="preserve">: </w:t>
      </w:r>
      <w:r w:rsidR="00912EF8">
        <w:rPr>
          <w:rFonts w:ascii="Times New Roman" w:eastAsia="宋体" w:hAnsi="Times New Roman" w:cs="Times New Roman"/>
          <w:b/>
          <w:bCs/>
          <w:kern w:val="0"/>
          <w:sz w:val="20"/>
          <w:szCs w:val="20"/>
        </w:rPr>
        <w:t>RAN3</w:t>
      </w:r>
      <w:r w:rsidR="00D27582">
        <w:rPr>
          <w:rFonts w:ascii="Times New Roman" w:eastAsia="宋体" w:hAnsi="Times New Roman" w:cs="Times New Roman"/>
          <w:b/>
          <w:bCs/>
          <w:kern w:val="0"/>
          <w:sz w:val="20"/>
          <w:szCs w:val="20"/>
        </w:rPr>
        <w:t xml:space="preserve"> or RAN2</w:t>
      </w:r>
      <w:r w:rsidR="00912EF8">
        <w:rPr>
          <w:rFonts w:ascii="Times New Roman" w:eastAsia="宋体" w:hAnsi="Times New Roman" w:cs="Times New Roman"/>
          <w:b/>
          <w:bCs/>
          <w:kern w:val="0"/>
          <w:sz w:val="20"/>
          <w:szCs w:val="20"/>
        </w:rPr>
        <w:t xml:space="preserve"> discusses whether </w:t>
      </w:r>
      <w:r w:rsidR="00D27582">
        <w:rPr>
          <w:rFonts w:ascii="Times New Roman" w:eastAsia="宋体" w:hAnsi="Times New Roman" w:cs="Times New Roman"/>
          <w:b/>
          <w:bCs/>
          <w:kern w:val="0"/>
          <w:sz w:val="20"/>
          <w:szCs w:val="20"/>
        </w:rPr>
        <w:t xml:space="preserve">to </w:t>
      </w:r>
      <w:r w:rsidR="00912EF8">
        <w:rPr>
          <w:rFonts w:ascii="Times New Roman" w:eastAsia="宋体" w:hAnsi="Times New Roman" w:cs="Times New Roman"/>
          <w:b/>
          <w:bCs/>
          <w:kern w:val="0"/>
          <w:sz w:val="20"/>
          <w:szCs w:val="20"/>
        </w:rPr>
        <w:t>d</w:t>
      </w:r>
      <w:r w:rsidRPr="00882390">
        <w:rPr>
          <w:rFonts w:ascii="Times New Roman" w:eastAsia="宋体" w:hAnsi="Times New Roman" w:cs="Times New Roman"/>
          <w:b/>
          <w:bCs/>
          <w:kern w:val="0"/>
          <w:sz w:val="20"/>
          <w:szCs w:val="20"/>
        </w:rPr>
        <w:t>ifferentiate onboard UEs and surrounding UEs for mobile IAB-node.</w:t>
      </w:r>
    </w:p>
    <w:p w14:paraId="7A1DA3AD" w14:textId="77777777" w:rsidR="00AA3FAE" w:rsidRPr="00AA3FAE" w:rsidRDefault="00AA3FAE" w:rsidP="00AA3FAE">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36"/>
          <w:lang w:val="en-GB"/>
        </w:rPr>
      </w:pPr>
      <w:r w:rsidRPr="00AA3FAE">
        <w:rPr>
          <w:rFonts w:ascii="Arial" w:eastAsia="宋体" w:hAnsi="Arial" w:cs="Times New Roman"/>
          <w:kern w:val="0"/>
          <w:sz w:val="36"/>
          <w:szCs w:val="36"/>
          <w:lang w:val="en-GB"/>
        </w:rPr>
        <w:t>Conclusion</w:t>
      </w:r>
    </w:p>
    <w:p w14:paraId="5E1D131E" w14:textId="0AAF90D9" w:rsidR="00AA3FAE" w:rsidRDefault="00AA3FAE" w:rsidP="00AA3FAE">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AA3FAE">
        <w:rPr>
          <w:rFonts w:ascii="Times New Roman" w:eastAsia="宋体" w:hAnsi="Times New Roman" w:cs="Times New Roman"/>
          <w:kern w:val="0"/>
          <w:sz w:val="20"/>
          <w:szCs w:val="20"/>
        </w:rPr>
        <w:t>Th</w:t>
      </w:r>
      <w:r w:rsidR="00F862F2">
        <w:rPr>
          <w:rFonts w:ascii="Times New Roman" w:eastAsia="宋体" w:hAnsi="Times New Roman" w:cs="Times New Roman"/>
          <w:kern w:val="0"/>
          <w:sz w:val="20"/>
          <w:szCs w:val="20"/>
        </w:rPr>
        <w:t>is contribution aims to</w:t>
      </w:r>
      <w:r w:rsidR="00C00903" w:rsidRPr="00C00903">
        <w:rPr>
          <w:rFonts w:ascii="Times New Roman" w:eastAsia="宋体" w:hAnsi="Times New Roman" w:cs="Times New Roman"/>
          <w:kern w:val="0"/>
          <w:sz w:val="20"/>
          <w:szCs w:val="20"/>
        </w:rPr>
        <w:t xml:space="preserve"> </w:t>
      </w:r>
      <w:r w:rsidR="00C00903">
        <w:rPr>
          <w:rFonts w:ascii="Times New Roman" w:eastAsia="宋体" w:hAnsi="Times New Roman" w:cs="Times New Roman"/>
          <w:kern w:val="0"/>
          <w:sz w:val="20"/>
          <w:szCs w:val="20"/>
        </w:rPr>
        <w:t xml:space="preserve">discuss </w:t>
      </w:r>
      <w:r w:rsidR="00853907">
        <w:rPr>
          <w:rFonts w:ascii="Times New Roman" w:eastAsia="宋体" w:hAnsi="Times New Roman" w:cs="Times New Roman" w:hint="eastAsia"/>
          <w:kern w:val="0"/>
          <w:sz w:val="20"/>
          <w:szCs w:val="20"/>
        </w:rPr>
        <w:t>e</w:t>
      </w:r>
      <w:r w:rsidR="00853907" w:rsidRPr="00853907">
        <w:rPr>
          <w:rFonts w:ascii="Times New Roman" w:eastAsia="宋体" w:hAnsi="Times New Roman" w:cs="Times New Roman"/>
          <w:kern w:val="0"/>
          <w:sz w:val="20"/>
          <w:szCs w:val="20"/>
        </w:rPr>
        <w:t>nhancements for mobility of an IAB-node together with its served UEs</w:t>
      </w:r>
      <w:r w:rsidR="00F862F2">
        <w:rPr>
          <w:rFonts w:ascii="Times New Roman" w:eastAsia="宋体" w:hAnsi="Times New Roman" w:cs="Times New Roman"/>
          <w:kern w:val="0"/>
          <w:sz w:val="20"/>
          <w:szCs w:val="20"/>
        </w:rPr>
        <w:t>. And following observations and proposals are concluded.</w:t>
      </w:r>
      <w:r w:rsidR="00385E03">
        <w:rPr>
          <w:rFonts w:ascii="Times New Roman" w:eastAsia="宋体" w:hAnsi="Times New Roman" w:cs="Times New Roman"/>
          <w:kern w:val="0"/>
          <w:sz w:val="20"/>
          <w:szCs w:val="20"/>
        </w:rPr>
        <w:t xml:space="preserve"> </w:t>
      </w:r>
    </w:p>
    <w:p w14:paraId="11B467EB" w14:textId="77777777" w:rsidR="002F49BB" w:rsidRPr="00BC2F24" w:rsidRDefault="002F49BB" w:rsidP="002F49BB">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BC2F24">
        <w:rPr>
          <w:rFonts w:ascii="Times New Roman" w:eastAsia="宋体" w:hAnsi="Times New Roman" w:cs="Times New Roman"/>
          <w:b/>
          <w:bCs/>
          <w:kern w:val="0"/>
          <w:sz w:val="20"/>
          <w:szCs w:val="20"/>
        </w:rPr>
        <w:t xml:space="preserve">Proposal </w:t>
      </w:r>
      <w:r>
        <w:rPr>
          <w:rFonts w:ascii="Times New Roman" w:eastAsia="宋体" w:hAnsi="Times New Roman" w:cs="Times New Roman"/>
          <w:b/>
          <w:bCs/>
          <w:kern w:val="0"/>
          <w:sz w:val="20"/>
          <w:szCs w:val="20"/>
        </w:rPr>
        <w:t>1</w:t>
      </w:r>
      <w:r w:rsidRPr="00BC2F24">
        <w:rPr>
          <w:rFonts w:ascii="Times New Roman" w:eastAsia="宋体" w:hAnsi="Times New Roman" w:cs="Times New Roman"/>
          <w:b/>
          <w:bCs/>
          <w:kern w:val="0"/>
          <w:sz w:val="20"/>
          <w:szCs w:val="20"/>
        </w:rPr>
        <w:t>:</w:t>
      </w:r>
      <w:r>
        <w:rPr>
          <w:rFonts w:ascii="Times New Roman" w:eastAsia="宋体" w:hAnsi="Times New Roman" w:cs="Times New Roman"/>
          <w:b/>
          <w:bCs/>
          <w:kern w:val="0"/>
          <w:sz w:val="20"/>
          <w:szCs w:val="20"/>
        </w:rPr>
        <w:t xml:space="preserve"> Mobile </w:t>
      </w:r>
      <w:r w:rsidRPr="00D226CE">
        <w:rPr>
          <w:rFonts w:ascii="Times New Roman" w:eastAsia="宋体" w:hAnsi="Times New Roman" w:cs="Times New Roman"/>
          <w:b/>
          <w:bCs/>
          <w:kern w:val="0"/>
          <w:sz w:val="20"/>
          <w:szCs w:val="20"/>
        </w:rPr>
        <w:t>IAB</w:t>
      </w:r>
      <w:r>
        <w:rPr>
          <w:rFonts w:ascii="Times New Roman" w:eastAsia="宋体" w:hAnsi="Times New Roman" w:cs="Times New Roman"/>
          <w:b/>
          <w:bCs/>
          <w:kern w:val="0"/>
          <w:sz w:val="20"/>
          <w:szCs w:val="20"/>
        </w:rPr>
        <w:t>-</w:t>
      </w:r>
      <w:r w:rsidRPr="00D226CE">
        <w:rPr>
          <w:rFonts w:ascii="Times New Roman" w:eastAsia="宋体" w:hAnsi="Times New Roman" w:cs="Times New Roman"/>
          <w:b/>
          <w:bCs/>
          <w:kern w:val="0"/>
          <w:sz w:val="20"/>
          <w:szCs w:val="20"/>
        </w:rPr>
        <w:t>node</w:t>
      </w:r>
      <w:r>
        <w:rPr>
          <w:rFonts w:ascii="Times New Roman" w:eastAsia="宋体" w:hAnsi="Times New Roman" w:cs="Times New Roman"/>
          <w:b/>
          <w:bCs/>
          <w:kern w:val="0"/>
          <w:sz w:val="20"/>
          <w:szCs w:val="20"/>
        </w:rPr>
        <w:t xml:space="preserve"> </w:t>
      </w:r>
      <w:r w:rsidRPr="00D226CE">
        <w:rPr>
          <w:rFonts w:ascii="Times New Roman" w:eastAsia="宋体" w:hAnsi="Times New Roman" w:cs="Times New Roman"/>
          <w:b/>
          <w:bCs/>
          <w:kern w:val="0"/>
          <w:sz w:val="20"/>
          <w:szCs w:val="20"/>
        </w:rPr>
        <w:t>inform</w:t>
      </w:r>
      <w:r>
        <w:rPr>
          <w:rFonts w:ascii="Times New Roman" w:eastAsia="宋体" w:hAnsi="Times New Roman" w:cs="Times New Roman"/>
          <w:b/>
          <w:bCs/>
          <w:kern w:val="0"/>
          <w:sz w:val="20"/>
          <w:szCs w:val="20"/>
        </w:rPr>
        <w:t>s</w:t>
      </w:r>
      <w:r w:rsidRPr="00D226CE">
        <w:rPr>
          <w:rFonts w:ascii="Times New Roman" w:eastAsia="宋体" w:hAnsi="Times New Roman" w:cs="Times New Roman"/>
          <w:b/>
          <w:bCs/>
          <w:kern w:val="0"/>
          <w:sz w:val="20"/>
          <w:szCs w:val="20"/>
        </w:rPr>
        <w:t xml:space="preserve"> IAB-donor-CU </w:t>
      </w:r>
      <w:r>
        <w:rPr>
          <w:rFonts w:ascii="Times New Roman" w:eastAsia="宋体" w:hAnsi="Times New Roman" w:cs="Times New Roman"/>
          <w:b/>
          <w:bCs/>
          <w:kern w:val="0"/>
          <w:sz w:val="20"/>
          <w:szCs w:val="20"/>
        </w:rPr>
        <w:t xml:space="preserve">with its mobile attribute </w:t>
      </w:r>
      <w:r w:rsidRPr="00B21234">
        <w:rPr>
          <w:rFonts w:ascii="Times New Roman" w:eastAsia="宋体" w:hAnsi="Times New Roman" w:cs="Times New Roman"/>
          <w:b/>
          <w:bCs/>
          <w:kern w:val="0"/>
          <w:sz w:val="20"/>
          <w:szCs w:val="20"/>
        </w:rPr>
        <w:t>during integration or after integration</w:t>
      </w:r>
      <w:r w:rsidRPr="00D226CE">
        <w:rPr>
          <w:rFonts w:ascii="Times New Roman" w:eastAsia="宋体" w:hAnsi="Times New Roman" w:cs="Times New Roman"/>
          <w:b/>
          <w:bCs/>
          <w:kern w:val="0"/>
          <w:sz w:val="20"/>
          <w:szCs w:val="20"/>
        </w:rPr>
        <w:t>.</w:t>
      </w:r>
    </w:p>
    <w:p w14:paraId="39D47F50" w14:textId="0B2A0285" w:rsidR="00E92EB2" w:rsidRPr="00BC2F24" w:rsidRDefault="00E92EB2" w:rsidP="00E92EB2">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BC2F24">
        <w:rPr>
          <w:rFonts w:ascii="Times New Roman" w:eastAsia="宋体" w:hAnsi="Times New Roman" w:cs="Times New Roman"/>
          <w:b/>
          <w:bCs/>
          <w:kern w:val="0"/>
          <w:sz w:val="20"/>
          <w:szCs w:val="20"/>
        </w:rPr>
        <w:t xml:space="preserve">Proposal </w:t>
      </w:r>
      <w:r w:rsidR="002F49BB">
        <w:rPr>
          <w:rFonts w:ascii="Times New Roman" w:eastAsia="宋体" w:hAnsi="Times New Roman" w:cs="Times New Roman"/>
          <w:b/>
          <w:bCs/>
          <w:kern w:val="0"/>
          <w:sz w:val="20"/>
          <w:szCs w:val="20"/>
        </w:rPr>
        <w:t>2</w:t>
      </w:r>
      <w:r w:rsidRPr="00BC2F24">
        <w:rPr>
          <w:rFonts w:ascii="Times New Roman" w:eastAsia="宋体" w:hAnsi="Times New Roman" w:cs="Times New Roman"/>
          <w:b/>
          <w:bCs/>
          <w:kern w:val="0"/>
          <w:sz w:val="20"/>
          <w:szCs w:val="20"/>
        </w:rPr>
        <w:t>: Mobile attribute of mobile IAB</w:t>
      </w:r>
      <w:r>
        <w:rPr>
          <w:rFonts w:ascii="Times New Roman" w:eastAsia="宋体" w:hAnsi="Times New Roman" w:cs="Times New Roman"/>
          <w:b/>
          <w:bCs/>
          <w:kern w:val="0"/>
          <w:sz w:val="20"/>
          <w:szCs w:val="20"/>
        </w:rPr>
        <w:t>-</w:t>
      </w:r>
      <w:r w:rsidRPr="00BC2F24">
        <w:rPr>
          <w:rFonts w:ascii="Times New Roman" w:eastAsia="宋体" w:hAnsi="Times New Roman" w:cs="Times New Roman"/>
          <w:b/>
          <w:bCs/>
          <w:kern w:val="0"/>
          <w:sz w:val="20"/>
          <w:szCs w:val="20"/>
        </w:rPr>
        <w:t xml:space="preserve">node needs to be exchanged between source IAB-donor and target IAB-donor </w:t>
      </w:r>
      <w:r>
        <w:rPr>
          <w:rFonts w:ascii="Times New Roman" w:eastAsia="宋体" w:hAnsi="Times New Roman" w:cs="Times New Roman"/>
          <w:b/>
          <w:bCs/>
          <w:kern w:val="0"/>
          <w:sz w:val="20"/>
          <w:szCs w:val="20"/>
        </w:rPr>
        <w:t>via</w:t>
      </w:r>
      <w:r w:rsidRPr="00BC2F24">
        <w:rPr>
          <w:rFonts w:ascii="Times New Roman" w:eastAsia="宋体" w:hAnsi="Times New Roman" w:cs="Times New Roman"/>
          <w:b/>
          <w:bCs/>
          <w:kern w:val="0"/>
          <w:sz w:val="20"/>
          <w:szCs w:val="20"/>
        </w:rPr>
        <w:t xml:space="preserve"> XnAP during inter-donor migration procedure.</w:t>
      </w:r>
    </w:p>
    <w:p w14:paraId="33A32748" w14:textId="77777777" w:rsidR="002F49BB" w:rsidRDefault="002F49BB" w:rsidP="00E92EB2">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E46C2A">
        <w:rPr>
          <w:rFonts w:ascii="Times New Roman" w:eastAsia="宋体" w:hAnsi="Times New Roman" w:cs="Times New Roman" w:hint="eastAsia"/>
          <w:b/>
          <w:bCs/>
          <w:kern w:val="0"/>
          <w:sz w:val="20"/>
          <w:szCs w:val="20"/>
        </w:rPr>
        <w:t>P</w:t>
      </w:r>
      <w:r w:rsidRPr="00E46C2A">
        <w:rPr>
          <w:rFonts w:ascii="Times New Roman" w:eastAsia="宋体" w:hAnsi="Times New Roman" w:cs="Times New Roman"/>
          <w:b/>
          <w:bCs/>
          <w:kern w:val="0"/>
          <w:sz w:val="20"/>
          <w:szCs w:val="20"/>
        </w:rPr>
        <w:t xml:space="preserve">roposal 3: </w:t>
      </w:r>
      <w:r>
        <w:rPr>
          <w:rFonts w:ascii="Times New Roman" w:eastAsia="宋体" w:hAnsi="Times New Roman" w:cs="Times New Roman"/>
          <w:b/>
          <w:bCs/>
          <w:kern w:val="0"/>
          <w:sz w:val="20"/>
          <w:szCs w:val="20"/>
        </w:rPr>
        <w:t>M</w:t>
      </w:r>
      <w:r w:rsidRPr="00A72210">
        <w:rPr>
          <w:rFonts w:ascii="Times New Roman" w:eastAsia="宋体" w:hAnsi="Times New Roman" w:cs="Times New Roman"/>
          <w:b/>
          <w:bCs/>
          <w:kern w:val="0"/>
          <w:sz w:val="20"/>
          <w:szCs w:val="20"/>
        </w:rPr>
        <w:t>obile IAB</w:t>
      </w:r>
      <w:r>
        <w:rPr>
          <w:rFonts w:ascii="Times New Roman" w:eastAsia="宋体" w:hAnsi="Times New Roman" w:cs="Times New Roman"/>
          <w:b/>
          <w:bCs/>
          <w:kern w:val="0"/>
          <w:sz w:val="20"/>
          <w:szCs w:val="20"/>
        </w:rPr>
        <w:t>-</w:t>
      </w:r>
      <w:r w:rsidRPr="00A72210">
        <w:rPr>
          <w:rFonts w:ascii="Times New Roman" w:eastAsia="宋体" w:hAnsi="Times New Roman" w:cs="Times New Roman"/>
          <w:b/>
          <w:bCs/>
          <w:kern w:val="0"/>
          <w:sz w:val="20"/>
          <w:szCs w:val="20"/>
        </w:rPr>
        <w:t>node broadcast</w:t>
      </w:r>
      <w:r>
        <w:rPr>
          <w:rFonts w:ascii="Times New Roman" w:eastAsia="宋体" w:hAnsi="Times New Roman" w:cs="Times New Roman"/>
          <w:b/>
          <w:bCs/>
          <w:kern w:val="0"/>
          <w:sz w:val="20"/>
          <w:szCs w:val="20"/>
        </w:rPr>
        <w:t>s</w:t>
      </w:r>
      <w:r w:rsidRPr="00A72210">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its m</w:t>
      </w:r>
      <w:r w:rsidRPr="00A72210">
        <w:rPr>
          <w:rFonts w:ascii="Times New Roman" w:eastAsia="宋体" w:hAnsi="Times New Roman" w:cs="Times New Roman"/>
          <w:b/>
          <w:bCs/>
          <w:kern w:val="0"/>
          <w:sz w:val="20"/>
          <w:szCs w:val="20"/>
        </w:rPr>
        <w:t>obile attribute to UEs</w:t>
      </w:r>
      <w:r>
        <w:rPr>
          <w:rFonts w:ascii="Times New Roman" w:eastAsia="宋体" w:hAnsi="Times New Roman" w:cs="Times New Roman"/>
          <w:b/>
          <w:bCs/>
          <w:kern w:val="0"/>
          <w:sz w:val="20"/>
          <w:szCs w:val="20"/>
        </w:rPr>
        <w:t>, e.g., via SIB1.</w:t>
      </w:r>
    </w:p>
    <w:p w14:paraId="2824E081" w14:textId="384ABF43" w:rsidR="00E92EB2" w:rsidRPr="00276074" w:rsidRDefault="00E92EB2" w:rsidP="00E92EB2">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276074">
        <w:rPr>
          <w:rFonts w:ascii="Times New Roman" w:eastAsia="宋体" w:hAnsi="Times New Roman" w:cs="Times New Roman" w:hint="eastAsia"/>
          <w:b/>
          <w:bCs/>
          <w:kern w:val="0"/>
          <w:sz w:val="20"/>
          <w:szCs w:val="20"/>
        </w:rPr>
        <w:t>P</w:t>
      </w:r>
      <w:r w:rsidRPr="00276074">
        <w:rPr>
          <w:rFonts w:ascii="Times New Roman" w:eastAsia="宋体" w:hAnsi="Times New Roman" w:cs="Times New Roman"/>
          <w:b/>
          <w:bCs/>
          <w:kern w:val="0"/>
          <w:sz w:val="20"/>
          <w:szCs w:val="20"/>
        </w:rPr>
        <w:t xml:space="preserve">roposal </w:t>
      </w:r>
      <w:r w:rsidR="002F49BB">
        <w:rPr>
          <w:rFonts w:ascii="Times New Roman" w:eastAsia="宋体" w:hAnsi="Times New Roman" w:cs="Times New Roman"/>
          <w:b/>
          <w:bCs/>
          <w:kern w:val="0"/>
          <w:sz w:val="20"/>
          <w:szCs w:val="20"/>
        </w:rPr>
        <w:t>4</w:t>
      </w:r>
      <w:r w:rsidRPr="00276074">
        <w:rPr>
          <w:rFonts w:ascii="Times New Roman" w:eastAsia="宋体" w:hAnsi="Times New Roman" w:cs="Times New Roman"/>
          <w:b/>
          <w:bCs/>
          <w:kern w:val="0"/>
          <w:sz w:val="20"/>
          <w:szCs w:val="20"/>
        </w:rPr>
        <w:t xml:space="preserve">: </w:t>
      </w:r>
      <w:r w:rsidR="002F49BB">
        <w:rPr>
          <w:rFonts w:ascii="Times New Roman" w:eastAsia="宋体" w:hAnsi="Times New Roman" w:cs="Times New Roman"/>
          <w:b/>
          <w:bCs/>
          <w:kern w:val="0"/>
          <w:sz w:val="20"/>
          <w:szCs w:val="20"/>
        </w:rPr>
        <w:t xml:space="preserve">Mobile IAB-node can perform group mobility only when </w:t>
      </w:r>
      <w:r w:rsidR="002F49BB" w:rsidRPr="0093163A">
        <w:rPr>
          <w:rFonts w:ascii="Times New Roman" w:eastAsia="宋体" w:hAnsi="Times New Roman" w:cs="Times New Roman"/>
          <w:b/>
          <w:bCs/>
          <w:kern w:val="0"/>
          <w:sz w:val="20"/>
          <w:szCs w:val="20"/>
        </w:rPr>
        <w:t xml:space="preserve">F1 interface between IAB-DU2 and </w:t>
      </w:r>
      <w:r w:rsidR="002F49BB">
        <w:rPr>
          <w:rFonts w:ascii="Times New Roman" w:eastAsia="宋体" w:hAnsi="Times New Roman" w:cs="Times New Roman"/>
          <w:b/>
          <w:bCs/>
          <w:kern w:val="0"/>
          <w:sz w:val="20"/>
          <w:szCs w:val="20"/>
        </w:rPr>
        <w:t xml:space="preserve">target </w:t>
      </w:r>
      <w:r w:rsidR="002F49BB" w:rsidRPr="0093163A">
        <w:rPr>
          <w:rFonts w:ascii="Times New Roman" w:eastAsia="宋体" w:hAnsi="Times New Roman" w:cs="Times New Roman"/>
          <w:b/>
          <w:bCs/>
          <w:kern w:val="0"/>
          <w:sz w:val="20"/>
          <w:szCs w:val="20"/>
        </w:rPr>
        <w:t>IAB-donor-CU</w:t>
      </w:r>
      <w:r w:rsidR="002F49BB">
        <w:rPr>
          <w:rFonts w:ascii="Times New Roman" w:eastAsia="宋体" w:hAnsi="Times New Roman" w:cs="Times New Roman"/>
          <w:b/>
          <w:bCs/>
          <w:kern w:val="0"/>
          <w:sz w:val="20"/>
          <w:szCs w:val="20"/>
        </w:rPr>
        <w:t xml:space="preserve"> is setup</w:t>
      </w:r>
      <w:r w:rsidR="002F49BB" w:rsidRPr="0093163A">
        <w:rPr>
          <w:rFonts w:ascii="Times New Roman" w:eastAsia="宋体" w:hAnsi="Times New Roman" w:cs="Times New Roman"/>
          <w:b/>
          <w:bCs/>
          <w:kern w:val="0"/>
          <w:sz w:val="20"/>
          <w:szCs w:val="20"/>
        </w:rPr>
        <w:t xml:space="preserve"> before IAB-MT migration</w:t>
      </w:r>
      <w:r w:rsidR="002F49BB">
        <w:rPr>
          <w:rFonts w:ascii="Times New Roman" w:eastAsia="宋体" w:hAnsi="Times New Roman" w:cs="Times New Roman"/>
          <w:b/>
          <w:bCs/>
          <w:kern w:val="0"/>
          <w:sz w:val="20"/>
          <w:szCs w:val="20"/>
        </w:rPr>
        <w:t xml:space="preserve"> e.g., due to the target cell in the IAB-DU2 should be activated before UE migration.</w:t>
      </w:r>
    </w:p>
    <w:p w14:paraId="29C5706F" w14:textId="3A292A4F" w:rsidR="00E92EB2" w:rsidRPr="00E13436" w:rsidRDefault="00E92EB2" w:rsidP="00E92EB2">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E13436">
        <w:rPr>
          <w:rFonts w:ascii="Times New Roman" w:eastAsia="宋体" w:hAnsi="Times New Roman" w:cs="Times New Roman" w:hint="eastAsia"/>
          <w:b/>
          <w:bCs/>
          <w:kern w:val="0"/>
          <w:sz w:val="20"/>
          <w:szCs w:val="20"/>
        </w:rPr>
        <w:t>P</w:t>
      </w:r>
      <w:r w:rsidRPr="00E13436">
        <w:rPr>
          <w:rFonts w:ascii="Times New Roman" w:eastAsia="宋体" w:hAnsi="Times New Roman" w:cs="Times New Roman"/>
          <w:b/>
          <w:bCs/>
          <w:kern w:val="0"/>
          <w:sz w:val="20"/>
          <w:szCs w:val="20"/>
        </w:rPr>
        <w:t xml:space="preserve">roposal </w:t>
      </w:r>
      <w:r w:rsidR="002F49BB">
        <w:rPr>
          <w:rFonts w:ascii="Times New Roman" w:eastAsia="宋体" w:hAnsi="Times New Roman" w:cs="Times New Roman"/>
          <w:b/>
          <w:bCs/>
          <w:kern w:val="0"/>
          <w:sz w:val="20"/>
          <w:szCs w:val="20"/>
        </w:rPr>
        <w:t>5</w:t>
      </w:r>
      <w:r w:rsidRPr="00E13436">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For group mobility, a</w:t>
      </w:r>
      <w:r w:rsidRPr="00E13436">
        <w:rPr>
          <w:rFonts w:ascii="Times New Roman" w:eastAsia="宋体" w:hAnsi="Times New Roman" w:cs="Times New Roman"/>
          <w:b/>
          <w:bCs/>
          <w:kern w:val="0"/>
          <w:sz w:val="20"/>
          <w:szCs w:val="20"/>
        </w:rPr>
        <w:t xml:space="preserve"> </w:t>
      </w:r>
      <w:r w:rsidR="002F49BB">
        <w:rPr>
          <w:rFonts w:ascii="Times New Roman" w:eastAsia="宋体" w:hAnsi="Times New Roman" w:cs="Times New Roman"/>
          <w:b/>
          <w:bCs/>
          <w:kern w:val="0"/>
          <w:sz w:val="20"/>
          <w:szCs w:val="20"/>
        </w:rPr>
        <w:t>group-based</w:t>
      </w:r>
      <w:r w:rsidR="002F49BB" w:rsidRPr="00E13436">
        <w:rPr>
          <w:rFonts w:ascii="Times New Roman" w:eastAsia="宋体" w:hAnsi="Times New Roman" w:cs="Times New Roman"/>
          <w:b/>
          <w:bCs/>
          <w:kern w:val="0"/>
          <w:sz w:val="20"/>
          <w:szCs w:val="20"/>
        </w:rPr>
        <w:t xml:space="preserve"> </w:t>
      </w:r>
      <w:r w:rsidRPr="00E13436">
        <w:rPr>
          <w:rFonts w:ascii="Times New Roman" w:eastAsia="宋体" w:hAnsi="Times New Roman" w:cs="Times New Roman"/>
          <w:b/>
          <w:bCs/>
          <w:kern w:val="0"/>
          <w:sz w:val="20"/>
          <w:szCs w:val="20"/>
        </w:rPr>
        <w:t>Handover Request and Handover Request Acknowledge are used for IAB-MT and all related served UEs.</w:t>
      </w:r>
    </w:p>
    <w:p w14:paraId="3CB808CC" w14:textId="6E7EA01A" w:rsidR="002F49BB" w:rsidRPr="00E13436" w:rsidRDefault="002F49BB" w:rsidP="002F49BB">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P</w:t>
      </w:r>
      <w:r>
        <w:rPr>
          <w:rFonts w:ascii="Times New Roman" w:eastAsia="宋体" w:hAnsi="Times New Roman" w:cs="Times New Roman"/>
          <w:b/>
          <w:bCs/>
          <w:kern w:val="0"/>
          <w:sz w:val="20"/>
          <w:szCs w:val="20"/>
        </w:rPr>
        <w:t>roposal 6: For group mobility, RAN3 defines a new non-UE associated F1AP procedure for group-based UE context setup for all served UE of mobile IAB-node.</w:t>
      </w:r>
    </w:p>
    <w:p w14:paraId="16771550" w14:textId="7E1AF181" w:rsidR="00E92EB2" w:rsidRPr="00D95016" w:rsidRDefault="00E92EB2" w:rsidP="00E92EB2">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sidRPr="00F017C8">
        <w:rPr>
          <w:rFonts w:ascii="Times New Roman" w:eastAsia="宋体" w:hAnsi="Times New Roman" w:cs="Times New Roman" w:hint="eastAsia"/>
          <w:b/>
          <w:bCs/>
          <w:kern w:val="0"/>
          <w:sz w:val="20"/>
          <w:szCs w:val="20"/>
        </w:rPr>
        <w:t>P</w:t>
      </w:r>
      <w:r w:rsidRPr="00F017C8">
        <w:rPr>
          <w:rFonts w:ascii="Times New Roman" w:eastAsia="宋体" w:hAnsi="Times New Roman" w:cs="Times New Roman"/>
          <w:b/>
          <w:bCs/>
          <w:kern w:val="0"/>
          <w:sz w:val="20"/>
          <w:szCs w:val="20"/>
        </w:rPr>
        <w:t xml:space="preserve">roposal </w:t>
      </w:r>
      <w:r w:rsidR="002F49BB">
        <w:rPr>
          <w:rFonts w:ascii="Times New Roman" w:eastAsia="宋体" w:hAnsi="Times New Roman" w:cs="Times New Roman"/>
          <w:b/>
          <w:bCs/>
          <w:kern w:val="0"/>
          <w:sz w:val="20"/>
          <w:szCs w:val="20"/>
        </w:rPr>
        <w:t>7</w:t>
      </w:r>
      <w:r w:rsidRPr="00F017C8">
        <w:rPr>
          <w:rFonts w:ascii="Times New Roman" w:eastAsia="宋体" w:hAnsi="Times New Roman" w:cs="Times New Roman"/>
          <w:b/>
          <w:bCs/>
          <w:kern w:val="0"/>
          <w:sz w:val="20"/>
          <w:szCs w:val="20"/>
        </w:rPr>
        <w:t xml:space="preserve">: The served UE of mobile IAB-node may perform handover without RACH </w:t>
      </w:r>
      <w:r w:rsidRPr="00D95016">
        <w:rPr>
          <w:rFonts w:ascii="Times New Roman" w:eastAsia="宋体" w:hAnsi="Times New Roman" w:cs="Times New Roman"/>
          <w:b/>
          <w:bCs/>
          <w:kern w:val="0"/>
          <w:sz w:val="20"/>
          <w:szCs w:val="20"/>
        </w:rPr>
        <w:t>during inter-donor full migration together with the mobile IAB-node.</w:t>
      </w:r>
    </w:p>
    <w:p w14:paraId="58731332" w14:textId="3D8407DF" w:rsidR="00E92EB2" w:rsidRDefault="00E92EB2" w:rsidP="00E92EB2">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882390">
        <w:rPr>
          <w:rFonts w:ascii="Times New Roman" w:eastAsia="宋体" w:hAnsi="Times New Roman" w:cs="Times New Roman"/>
          <w:b/>
          <w:bCs/>
          <w:kern w:val="0"/>
          <w:sz w:val="20"/>
          <w:szCs w:val="20"/>
        </w:rPr>
        <w:t xml:space="preserve">Proposal </w:t>
      </w:r>
      <w:r w:rsidR="005D003D">
        <w:rPr>
          <w:rFonts w:ascii="Times New Roman" w:eastAsia="宋体" w:hAnsi="Times New Roman" w:cs="Times New Roman"/>
          <w:b/>
          <w:bCs/>
          <w:kern w:val="0"/>
          <w:sz w:val="20"/>
          <w:szCs w:val="20"/>
        </w:rPr>
        <w:t>8</w:t>
      </w:r>
      <w:r w:rsidRPr="00882390">
        <w:rPr>
          <w:rFonts w:ascii="Times New Roman" w:eastAsia="宋体" w:hAnsi="Times New Roman" w:cs="Times New Roman"/>
          <w:b/>
          <w:bCs/>
          <w:kern w:val="0"/>
          <w:sz w:val="20"/>
          <w:szCs w:val="20"/>
        </w:rPr>
        <w:t xml:space="preserve">: </w:t>
      </w:r>
      <w:r w:rsidR="005D003D">
        <w:rPr>
          <w:rFonts w:ascii="Times New Roman" w:eastAsia="宋体" w:hAnsi="Times New Roman" w:cs="Times New Roman"/>
          <w:b/>
          <w:bCs/>
          <w:kern w:val="0"/>
          <w:sz w:val="20"/>
          <w:szCs w:val="20"/>
        </w:rPr>
        <w:t>RAN3 or RAN</w:t>
      </w:r>
      <w:r w:rsidR="000165E4">
        <w:rPr>
          <w:rFonts w:ascii="Times New Roman" w:eastAsia="宋体" w:hAnsi="Times New Roman" w:cs="Times New Roman"/>
          <w:b/>
          <w:bCs/>
          <w:kern w:val="0"/>
          <w:sz w:val="20"/>
          <w:szCs w:val="20"/>
        </w:rPr>
        <w:t>2</w:t>
      </w:r>
      <w:r w:rsidR="005D003D">
        <w:rPr>
          <w:rFonts w:ascii="Times New Roman" w:eastAsia="宋体" w:hAnsi="Times New Roman" w:cs="Times New Roman"/>
          <w:b/>
          <w:bCs/>
          <w:kern w:val="0"/>
          <w:sz w:val="20"/>
          <w:szCs w:val="20"/>
        </w:rPr>
        <w:t xml:space="preserve"> discusses whether to d</w:t>
      </w:r>
      <w:r w:rsidRPr="00882390">
        <w:rPr>
          <w:rFonts w:ascii="Times New Roman" w:eastAsia="宋体" w:hAnsi="Times New Roman" w:cs="Times New Roman"/>
          <w:b/>
          <w:bCs/>
          <w:kern w:val="0"/>
          <w:sz w:val="20"/>
          <w:szCs w:val="20"/>
        </w:rPr>
        <w:t>ifferentiate onboard UEs and surrounding UEs for mobile IAB-node.</w:t>
      </w:r>
      <w:r>
        <w:rPr>
          <w:rFonts w:ascii="Times New Roman" w:eastAsia="宋体" w:hAnsi="Times New Roman" w:cs="Times New Roman"/>
          <w:b/>
          <w:bCs/>
          <w:kern w:val="0"/>
          <w:sz w:val="20"/>
          <w:szCs w:val="20"/>
        </w:rPr>
        <w:t xml:space="preserve"> </w:t>
      </w:r>
    </w:p>
    <w:p w14:paraId="50D5ABC5" w14:textId="52B3F02C" w:rsidR="003848D1" w:rsidRPr="00882390" w:rsidRDefault="003848D1" w:rsidP="00E92EB2">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B</w:t>
      </w:r>
      <w:r>
        <w:rPr>
          <w:rFonts w:ascii="Times New Roman" w:eastAsia="宋体" w:hAnsi="Times New Roman" w:cs="Times New Roman"/>
          <w:b/>
          <w:bCs/>
          <w:kern w:val="0"/>
          <w:sz w:val="20"/>
          <w:szCs w:val="20"/>
        </w:rPr>
        <w:t xml:space="preserve">ased on the proposals above, a corresponding TP to TS 38.401 for group mobility of mobile IAB-node </w:t>
      </w:r>
      <w:r w:rsidR="00807049">
        <w:rPr>
          <w:rFonts w:ascii="Times New Roman" w:eastAsia="宋体" w:hAnsi="Times New Roman" w:cs="Times New Roman"/>
          <w:b/>
          <w:bCs/>
          <w:kern w:val="0"/>
          <w:sz w:val="20"/>
          <w:szCs w:val="20"/>
        </w:rPr>
        <w:t>is provided in [2].</w:t>
      </w:r>
    </w:p>
    <w:p w14:paraId="1C734CA1" w14:textId="77777777" w:rsidR="00AA3FAE" w:rsidRPr="00AA3FAE" w:rsidRDefault="00AA3FAE" w:rsidP="00AA3FAE">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Dotum" w:hAnsi="Arial" w:cs="Times New Roman"/>
          <w:kern w:val="0"/>
          <w:sz w:val="36"/>
          <w:szCs w:val="36"/>
          <w:lang w:val="en-GB"/>
        </w:rPr>
      </w:pPr>
      <w:r w:rsidRPr="00AA3FAE">
        <w:rPr>
          <w:rFonts w:ascii="Arial" w:eastAsia="Dotum" w:hAnsi="Arial" w:cs="Times New Roman"/>
          <w:kern w:val="0"/>
          <w:sz w:val="36"/>
          <w:szCs w:val="36"/>
          <w:lang w:val="en-GB"/>
        </w:rPr>
        <w:t>Reference</w:t>
      </w:r>
    </w:p>
    <w:bookmarkEnd w:id="1"/>
    <w:bookmarkEnd w:id="2"/>
    <w:p w14:paraId="17AF3434" w14:textId="01965301" w:rsidR="00C45DB2" w:rsidRDefault="002F0CB9" w:rsidP="00944C84">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 xml:space="preserve">RP-221815. </w:t>
      </w:r>
      <w:r w:rsidRPr="0079514C">
        <w:rPr>
          <w:rFonts w:ascii="Times New Roman" w:eastAsia="宋体" w:hAnsi="Times New Roman" w:cs="Times New Roman"/>
          <w:kern w:val="0"/>
          <w:sz w:val="20"/>
          <w:lang w:val="x-none"/>
        </w:rPr>
        <w:t>New WID on Mobile IAB</w:t>
      </w:r>
      <w:r>
        <w:rPr>
          <w:rFonts w:ascii="Times New Roman" w:eastAsia="宋体" w:hAnsi="Times New Roman" w:cs="Times New Roman"/>
          <w:kern w:val="0"/>
          <w:sz w:val="20"/>
          <w:lang w:val="x-none"/>
        </w:rPr>
        <w:t>.</w:t>
      </w:r>
    </w:p>
    <w:p w14:paraId="7EFB0FD2" w14:textId="0EEBE649" w:rsidR="007A772F" w:rsidRDefault="007A772F" w:rsidP="00944C84">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sidRPr="00A35B56">
        <w:rPr>
          <w:rFonts w:ascii="Times New Roman" w:eastAsia="宋体" w:hAnsi="Times New Roman" w:cs="Times New Roman" w:hint="eastAsia"/>
          <w:kern w:val="0"/>
          <w:sz w:val="20"/>
          <w:lang w:val="x-none"/>
        </w:rPr>
        <w:t>R</w:t>
      </w:r>
      <w:r w:rsidRPr="00A35B56">
        <w:rPr>
          <w:rFonts w:ascii="Times New Roman" w:eastAsia="宋体" w:hAnsi="Times New Roman" w:cs="Times New Roman"/>
          <w:kern w:val="0"/>
          <w:sz w:val="20"/>
          <w:lang w:val="x-none"/>
        </w:rPr>
        <w:t>3-22</w:t>
      </w:r>
      <w:r w:rsidR="00A35B56" w:rsidRPr="00A35B56">
        <w:rPr>
          <w:rFonts w:ascii="Times New Roman" w:eastAsia="宋体" w:hAnsi="Times New Roman" w:cs="Times New Roman"/>
          <w:kern w:val="0"/>
          <w:sz w:val="20"/>
          <w:lang w:val="x-none"/>
        </w:rPr>
        <w:t>4431</w:t>
      </w:r>
      <w:r w:rsidRPr="00A35B56">
        <w:rPr>
          <w:rFonts w:ascii="Times New Roman" w:eastAsia="宋体" w:hAnsi="Times New Roman" w:cs="Times New Roman"/>
          <w:kern w:val="0"/>
          <w:sz w:val="20"/>
          <w:lang w:val="x-none"/>
        </w:rPr>
        <w:t>.</w:t>
      </w:r>
      <w:r>
        <w:rPr>
          <w:rFonts w:ascii="Times New Roman" w:eastAsia="宋体" w:hAnsi="Times New Roman" w:cs="Times New Roman"/>
          <w:kern w:val="0"/>
          <w:sz w:val="20"/>
          <w:lang w:val="x-none"/>
        </w:rPr>
        <w:t xml:space="preserve"> </w:t>
      </w:r>
      <w:r w:rsidR="006C20A7" w:rsidRPr="006C20A7">
        <w:rPr>
          <w:rFonts w:ascii="Times New Roman" w:eastAsia="宋体" w:hAnsi="Times New Roman" w:cs="Times New Roman"/>
          <w:kern w:val="0"/>
          <w:sz w:val="20"/>
          <w:lang w:val="x-none"/>
        </w:rPr>
        <w:t>(TP to TS 38.401) Support for group mobility of mobile IAB-node</w:t>
      </w:r>
      <w:r>
        <w:rPr>
          <w:rFonts w:ascii="Times New Roman" w:eastAsia="宋体" w:hAnsi="Times New Roman" w:cs="Times New Roman"/>
          <w:kern w:val="0"/>
          <w:sz w:val="20"/>
          <w:lang w:val="x-none"/>
        </w:rPr>
        <w:t>. Lenovo.</w:t>
      </w:r>
      <w:r w:rsidR="006C20A7">
        <w:rPr>
          <w:rFonts w:ascii="Times New Roman" w:eastAsia="宋体" w:hAnsi="Times New Roman" w:cs="Times New Roman"/>
          <w:kern w:val="0"/>
          <w:sz w:val="20"/>
          <w:lang w:val="x-none"/>
        </w:rPr>
        <w:t xml:space="preserve"> </w:t>
      </w:r>
    </w:p>
    <w:p w14:paraId="12279688" w14:textId="156CDD6C" w:rsidR="00CD1838" w:rsidRPr="00CD1838" w:rsidRDefault="00CD1838" w:rsidP="00CD1838">
      <w:pPr>
        <w:widowControl/>
        <w:overflowPunct w:val="0"/>
        <w:autoSpaceDE w:val="0"/>
        <w:autoSpaceDN w:val="0"/>
        <w:adjustRightInd w:val="0"/>
        <w:spacing w:after="180"/>
        <w:jc w:val="left"/>
        <w:rPr>
          <w:rFonts w:ascii="Times New Roman" w:hAnsi="Times New Roman" w:cs="Times New Roman"/>
          <w:kern w:val="0"/>
          <w:sz w:val="20"/>
          <w:szCs w:val="20"/>
        </w:rPr>
      </w:pPr>
    </w:p>
    <w:sectPr w:rsidR="00CD1838" w:rsidRPr="00CD1838" w:rsidSect="0085683C">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C96CF" w14:textId="77777777" w:rsidR="00F15EF8" w:rsidRDefault="00F15EF8" w:rsidP="00AA3FAE">
      <w:r>
        <w:separator/>
      </w:r>
    </w:p>
  </w:endnote>
  <w:endnote w:type="continuationSeparator" w:id="0">
    <w:p w14:paraId="6A9C64E8" w14:textId="77777777" w:rsidR="00F15EF8" w:rsidRDefault="00F15EF8" w:rsidP="00AA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11677" w14:textId="77777777" w:rsidR="00B41AA4" w:rsidRDefault="00FF2385">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ED432" w14:textId="77777777" w:rsidR="00F15EF8" w:rsidRDefault="00F15EF8" w:rsidP="00AA3FAE">
      <w:r>
        <w:separator/>
      </w:r>
    </w:p>
  </w:footnote>
  <w:footnote w:type="continuationSeparator" w:id="0">
    <w:p w14:paraId="541E5CAE" w14:textId="77777777" w:rsidR="00F15EF8" w:rsidRDefault="00F15EF8" w:rsidP="00AA3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24677" w14:textId="77777777" w:rsidR="00B41AA4" w:rsidRDefault="00FF2385"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04FA4"/>
    <w:multiLevelType w:val="hybridMultilevel"/>
    <w:tmpl w:val="0A6E7828"/>
    <w:lvl w:ilvl="0" w:tplc="7FDA356E">
      <w:numFmt w:val="bullet"/>
      <w:lvlText w:val="-"/>
      <w:lvlJc w:val="left"/>
      <w:pPr>
        <w:ind w:left="420" w:hanging="420"/>
      </w:pPr>
      <w:rPr>
        <w:rFonts w:ascii="Times New Roman" w:eastAsia="MS Mincho" w:hAnsi="Times New Roman" w:cs="Times New Roman" w:hint="default"/>
        <w:b w:val="0"/>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882AE4"/>
    <w:multiLevelType w:val="hybridMultilevel"/>
    <w:tmpl w:val="FFB4620A"/>
    <w:lvl w:ilvl="0" w:tplc="B38811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3" w15:restartNumberingAfterBreak="0">
    <w:nsid w:val="4F3861C8"/>
    <w:multiLevelType w:val="hybridMultilevel"/>
    <w:tmpl w:val="FB96555C"/>
    <w:lvl w:ilvl="0" w:tplc="08090001">
      <w:start w:val="1"/>
      <w:numFmt w:val="bullet"/>
      <w:lvlText w:val=""/>
      <w:lvlJc w:val="left"/>
      <w:pPr>
        <w:ind w:left="420" w:hanging="42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3F35A06"/>
    <w:multiLevelType w:val="hybridMultilevel"/>
    <w:tmpl w:val="CDA27A2E"/>
    <w:lvl w:ilvl="0" w:tplc="D7C2DF2E">
      <w:start w:val="1"/>
      <w:numFmt w:val="bullet"/>
      <w:lvlText w:val="•"/>
      <w:lvlJc w:val="left"/>
      <w:pPr>
        <w:tabs>
          <w:tab w:val="num" w:pos="720"/>
        </w:tabs>
        <w:ind w:left="720" w:hanging="360"/>
      </w:pPr>
      <w:rPr>
        <w:rFonts w:ascii="Arial" w:hAnsi="Arial" w:hint="default"/>
      </w:rPr>
    </w:lvl>
    <w:lvl w:ilvl="1" w:tplc="9EE0960C">
      <w:numFmt w:val="bullet"/>
      <w:lvlText w:val="–"/>
      <w:lvlJc w:val="left"/>
      <w:pPr>
        <w:tabs>
          <w:tab w:val="num" w:pos="1440"/>
        </w:tabs>
        <w:ind w:left="1440" w:hanging="360"/>
      </w:pPr>
      <w:rPr>
        <w:rFonts w:ascii="Arial" w:hAnsi="Arial" w:hint="default"/>
      </w:rPr>
    </w:lvl>
    <w:lvl w:ilvl="2" w:tplc="E592D934">
      <w:numFmt w:val="bullet"/>
      <w:lvlText w:val="-"/>
      <w:lvlJc w:val="left"/>
      <w:pPr>
        <w:tabs>
          <w:tab w:val="num" w:pos="2160"/>
        </w:tabs>
        <w:ind w:left="2160" w:hanging="360"/>
      </w:pPr>
      <w:rPr>
        <w:rFonts w:ascii="Arial" w:hAnsi="Arial" w:hint="default"/>
      </w:rPr>
    </w:lvl>
    <w:lvl w:ilvl="3" w:tplc="2DB04424" w:tentative="1">
      <w:start w:val="1"/>
      <w:numFmt w:val="bullet"/>
      <w:lvlText w:val="•"/>
      <w:lvlJc w:val="left"/>
      <w:pPr>
        <w:tabs>
          <w:tab w:val="num" w:pos="2880"/>
        </w:tabs>
        <w:ind w:left="2880" w:hanging="360"/>
      </w:pPr>
      <w:rPr>
        <w:rFonts w:ascii="Arial" w:hAnsi="Arial" w:hint="default"/>
      </w:rPr>
    </w:lvl>
    <w:lvl w:ilvl="4" w:tplc="8124C2BC" w:tentative="1">
      <w:start w:val="1"/>
      <w:numFmt w:val="bullet"/>
      <w:lvlText w:val="•"/>
      <w:lvlJc w:val="left"/>
      <w:pPr>
        <w:tabs>
          <w:tab w:val="num" w:pos="3600"/>
        </w:tabs>
        <w:ind w:left="3600" w:hanging="360"/>
      </w:pPr>
      <w:rPr>
        <w:rFonts w:ascii="Arial" w:hAnsi="Arial" w:hint="default"/>
      </w:rPr>
    </w:lvl>
    <w:lvl w:ilvl="5" w:tplc="54E2F67E" w:tentative="1">
      <w:start w:val="1"/>
      <w:numFmt w:val="bullet"/>
      <w:lvlText w:val="•"/>
      <w:lvlJc w:val="left"/>
      <w:pPr>
        <w:tabs>
          <w:tab w:val="num" w:pos="4320"/>
        </w:tabs>
        <w:ind w:left="4320" w:hanging="360"/>
      </w:pPr>
      <w:rPr>
        <w:rFonts w:ascii="Arial" w:hAnsi="Arial" w:hint="default"/>
      </w:rPr>
    </w:lvl>
    <w:lvl w:ilvl="6" w:tplc="DAE656C6" w:tentative="1">
      <w:start w:val="1"/>
      <w:numFmt w:val="bullet"/>
      <w:lvlText w:val="•"/>
      <w:lvlJc w:val="left"/>
      <w:pPr>
        <w:tabs>
          <w:tab w:val="num" w:pos="5040"/>
        </w:tabs>
        <w:ind w:left="5040" w:hanging="360"/>
      </w:pPr>
      <w:rPr>
        <w:rFonts w:ascii="Arial" w:hAnsi="Arial" w:hint="default"/>
      </w:rPr>
    </w:lvl>
    <w:lvl w:ilvl="7" w:tplc="69E4BBB4" w:tentative="1">
      <w:start w:val="1"/>
      <w:numFmt w:val="bullet"/>
      <w:lvlText w:val="•"/>
      <w:lvlJc w:val="left"/>
      <w:pPr>
        <w:tabs>
          <w:tab w:val="num" w:pos="5760"/>
        </w:tabs>
        <w:ind w:left="5760" w:hanging="360"/>
      </w:pPr>
      <w:rPr>
        <w:rFonts w:ascii="Arial" w:hAnsi="Arial" w:hint="default"/>
      </w:rPr>
    </w:lvl>
    <w:lvl w:ilvl="8" w:tplc="858CECE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8603255"/>
    <w:multiLevelType w:val="hybridMultilevel"/>
    <w:tmpl w:val="383E1D20"/>
    <w:lvl w:ilvl="0" w:tplc="3566E418">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63493FEE"/>
    <w:multiLevelType w:val="hybridMultilevel"/>
    <w:tmpl w:val="0DAAB3B2"/>
    <w:lvl w:ilvl="0" w:tplc="0A2C8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359"/>
        </w:tabs>
        <w:ind w:left="359" w:hanging="360"/>
      </w:pPr>
      <w:rPr>
        <w:rFonts w:ascii="Symbol" w:hAnsi="Symbol" w:hint="default"/>
        <w:b/>
        <w:i w:val="0"/>
        <w:color w:val="auto"/>
        <w:sz w:val="22"/>
      </w:rPr>
    </w:lvl>
    <w:lvl w:ilvl="1" w:tplc="04090003">
      <w:start w:val="1"/>
      <w:numFmt w:val="bullet"/>
      <w:lvlText w:val="o"/>
      <w:lvlJc w:val="left"/>
      <w:pPr>
        <w:tabs>
          <w:tab w:val="num" w:pos="180"/>
        </w:tabs>
        <w:ind w:left="180" w:hanging="360"/>
      </w:pPr>
      <w:rPr>
        <w:rFonts w:ascii="Courier New" w:hAnsi="Courier New" w:cs="Courier New" w:hint="default"/>
      </w:rPr>
    </w:lvl>
    <w:lvl w:ilvl="2" w:tplc="04090005" w:tentative="1">
      <w:start w:val="1"/>
      <w:numFmt w:val="bullet"/>
      <w:lvlText w:val=""/>
      <w:lvlJc w:val="left"/>
      <w:pPr>
        <w:tabs>
          <w:tab w:val="num" w:pos="900"/>
        </w:tabs>
        <w:ind w:left="900" w:hanging="360"/>
      </w:pPr>
      <w:rPr>
        <w:rFonts w:ascii="Wingdings" w:hAnsi="Wingdings" w:hint="default"/>
      </w:rPr>
    </w:lvl>
    <w:lvl w:ilvl="3" w:tplc="04090001" w:tentative="1">
      <w:start w:val="1"/>
      <w:numFmt w:val="bullet"/>
      <w:lvlText w:val=""/>
      <w:lvlJc w:val="left"/>
      <w:pPr>
        <w:tabs>
          <w:tab w:val="num" w:pos="1620"/>
        </w:tabs>
        <w:ind w:left="1620" w:hanging="360"/>
      </w:pPr>
      <w:rPr>
        <w:rFonts w:ascii="Symbol" w:hAnsi="Symbol" w:hint="default"/>
      </w:rPr>
    </w:lvl>
    <w:lvl w:ilvl="4" w:tplc="04090003" w:tentative="1">
      <w:start w:val="1"/>
      <w:numFmt w:val="bullet"/>
      <w:lvlText w:val="o"/>
      <w:lvlJc w:val="left"/>
      <w:pPr>
        <w:tabs>
          <w:tab w:val="num" w:pos="2340"/>
        </w:tabs>
        <w:ind w:left="2340" w:hanging="360"/>
      </w:pPr>
      <w:rPr>
        <w:rFonts w:ascii="Courier New" w:hAnsi="Courier New" w:cs="Courier New" w:hint="default"/>
      </w:rPr>
    </w:lvl>
    <w:lvl w:ilvl="5" w:tplc="04090005" w:tentative="1">
      <w:start w:val="1"/>
      <w:numFmt w:val="bullet"/>
      <w:lvlText w:val=""/>
      <w:lvlJc w:val="left"/>
      <w:pPr>
        <w:tabs>
          <w:tab w:val="num" w:pos="3060"/>
        </w:tabs>
        <w:ind w:left="3060" w:hanging="360"/>
      </w:pPr>
      <w:rPr>
        <w:rFonts w:ascii="Wingdings" w:hAnsi="Wingdings" w:hint="default"/>
      </w:rPr>
    </w:lvl>
    <w:lvl w:ilvl="6" w:tplc="04090001" w:tentative="1">
      <w:start w:val="1"/>
      <w:numFmt w:val="bullet"/>
      <w:lvlText w:val=""/>
      <w:lvlJc w:val="left"/>
      <w:pPr>
        <w:tabs>
          <w:tab w:val="num" w:pos="3780"/>
        </w:tabs>
        <w:ind w:left="3780" w:hanging="360"/>
      </w:pPr>
      <w:rPr>
        <w:rFonts w:ascii="Symbol" w:hAnsi="Symbol" w:hint="default"/>
      </w:rPr>
    </w:lvl>
    <w:lvl w:ilvl="7" w:tplc="04090003" w:tentative="1">
      <w:start w:val="1"/>
      <w:numFmt w:val="bullet"/>
      <w:lvlText w:val="o"/>
      <w:lvlJc w:val="left"/>
      <w:pPr>
        <w:tabs>
          <w:tab w:val="num" w:pos="4500"/>
        </w:tabs>
        <w:ind w:left="4500" w:hanging="360"/>
      </w:pPr>
      <w:rPr>
        <w:rFonts w:ascii="Courier New" w:hAnsi="Courier New" w:cs="Courier New" w:hint="default"/>
      </w:rPr>
    </w:lvl>
    <w:lvl w:ilvl="8" w:tplc="04090005" w:tentative="1">
      <w:start w:val="1"/>
      <w:numFmt w:val="bullet"/>
      <w:lvlText w:val=""/>
      <w:lvlJc w:val="left"/>
      <w:pPr>
        <w:tabs>
          <w:tab w:val="num" w:pos="5220"/>
        </w:tabs>
        <w:ind w:left="5220" w:hanging="360"/>
      </w:pPr>
      <w:rPr>
        <w:rFonts w:ascii="Wingdings" w:hAnsi="Wingdings" w:hint="default"/>
      </w:rPr>
    </w:lvl>
  </w:abstractNum>
  <w:abstractNum w:abstractNumId="9" w15:restartNumberingAfterBreak="0">
    <w:nsid w:val="765F5D59"/>
    <w:multiLevelType w:val="hybridMultilevel"/>
    <w:tmpl w:val="C5909780"/>
    <w:lvl w:ilvl="0" w:tplc="08090001">
      <w:start w:val="1"/>
      <w:numFmt w:val="bullet"/>
      <w:lvlText w:val=""/>
      <w:lvlJc w:val="left"/>
      <w:pPr>
        <w:ind w:left="420" w:hanging="42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5"/>
  </w:num>
  <w:num w:numId="3">
    <w:abstractNumId w:val="6"/>
  </w:num>
  <w:num w:numId="4">
    <w:abstractNumId w:val="8"/>
  </w:num>
  <w:num w:numId="5">
    <w:abstractNumId w:val="0"/>
  </w:num>
  <w:num w:numId="6">
    <w:abstractNumId w:val="1"/>
  </w:num>
  <w:num w:numId="7">
    <w:abstractNumId w:val="9"/>
  </w:num>
  <w:num w:numId="8">
    <w:abstractNumId w:val="3"/>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E"/>
    <w:rsid w:val="00002113"/>
    <w:rsid w:val="000024F1"/>
    <w:rsid w:val="00006F15"/>
    <w:rsid w:val="0000703A"/>
    <w:rsid w:val="00011F5D"/>
    <w:rsid w:val="000165E4"/>
    <w:rsid w:val="00017A52"/>
    <w:rsid w:val="00022004"/>
    <w:rsid w:val="00022A6F"/>
    <w:rsid w:val="000306D0"/>
    <w:rsid w:val="00032116"/>
    <w:rsid w:val="00035328"/>
    <w:rsid w:val="00035983"/>
    <w:rsid w:val="00046943"/>
    <w:rsid w:val="00047E11"/>
    <w:rsid w:val="000505CB"/>
    <w:rsid w:val="00050999"/>
    <w:rsid w:val="000566E1"/>
    <w:rsid w:val="00060A16"/>
    <w:rsid w:val="000613CF"/>
    <w:rsid w:val="0006683B"/>
    <w:rsid w:val="00070D39"/>
    <w:rsid w:val="00072D31"/>
    <w:rsid w:val="00086B95"/>
    <w:rsid w:val="000874BB"/>
    <w:rsid w:val="00095520"/>
    <w:rsid w:val="0009781A"/>
    <w:rsid w:val="000A18DF"/>
    <w:rsid w:val="000A3D7E"/>
    <w:rsid w:val="000B1D18"/>
    <w:rsid w:val="000B7C20"/>
    <w:rsid w:val="000C0937"/>
    <w:rsid w:val="000C15D9"/>
    <w:rsid w:val="000C3F89"/>
    <w:rsid w:val="000C7510"/>
    <w:rsid w:val="000D0A67"/>
    <w:rsid w:val="000D3ADF"/>
    <w:rsid w:val="000D4846"/>
    <w:rsid w:val="000D5F51"/>
    <w:rsid w:val="000E24D5"/>
    <w:rsid w:val="000E61B1"/>
    <w:rsid w:val="000E651D"/>
    <w:rsid w:val="000E706D"/>
    <w:rsid w:val="000F0260"/>
    <w:rsid w:val="000F6A9D"/>
    <w:rsid w:val="00100689"/>
    <w:rsid w:val="00101812"/>
    <w:rsid w:val="00111B28"/>
    <w:rsid w:val="0011469E"/>
    <w:rsid w:val="00115E31"/>
    <w:rsid w:val="00121955"/>
    <w:rsid w:val="00123848"/>
    <w:rsid w:val="00130515"/>
    <w:rsid w:val="00134A9A"/>
    <w:rsid w:val="00134C0A"/>
    <w:rsid w:val="001353CD"/>
    <w:rsid w:val="0015523D"/>
    <w:rsid w:val="001556FC"/>
    <w:rsid w:val="00161A1A"/>
    <w:rsid w:val="001623DF"/>
    <w:rsid w:val="0017256C"/>
    <w:rsid w:val="00172D96"/>
    <w:rsid w:val="0017587A"/>
    <w:rsid w:val="001847E8"/>
    <w:rsid w:val="00190FAF"/>
    <w:rsid w:val="0019499C"/>
    <w:rsid w:val="001A2383"/>
    <w:rsid w:val="001A38C6"/>
    <w:rsid w:val="001A44C7"/>
    <w:rsid w:val="001B31AB"/>
    <w:rsid w:val="001C0F1D"/>
    <w:rsid w:val="001C3355"/>
    <w:rsid w:val="001D64DD"/>
    <w:rsid w:val="001F0325"/>
    <w:rsid w:val="001F1C18"/>
    <w:rsid w:val="001F34D3"/>
    <w:rsid w:val="001F5824"/>
    <w:rsid w:val="002070BF"/>
    <w:rsid w:val="00213791"/>
    <w:rsid w:val="0022248C"/>
    <w:rsid w:val="00222F62"/>
    <w:rsid w:val="002271C5"/>
    <w:rsid w:val="00227B13"/>
    <w:rsid w:val="00230B9F"/>
    <w:rsid w:val="00232519"/>
    <w:rsid w:val="0024433A"/>
    <w:rsid w:val="00245E3F"/>
    <w:rsid w:val="002500C6"/>
    <w:rsid w:val="00252938"/>
    <w:rsid w:val="00256265"/>
    <w:rsid w:val="00261529"/>
    <w:rsid w:val="00277010"/>
    <w:rsid w:val="00281EF8"/>
    <w:rsid w:val="00283294"/>
    <w:rsid w:val="00286C7E"/>
    <w:rsid w:val="00292940"/>
    <w:rsid w:val="002A5557"/>
    <w:rsid w:val="002A67AC"/>
    <w:rsid w:val="002A7108"/>
    <w:rsid w:val="002B23C1"/>
    <w:rsid w:val="002B61AB"/>
    <w:rsid w:val="002B7FB5"/>
    <w:rsid w:val="002C1BFE"/>
    <w:rsid w:val="002C6DA5"/>
    <w:rsid w:val="002D370E"/>
    <w:rsid w:val="002D6F0D"/>
    <w:rsid w:val="002E166E"/>
    <w:rsid w:val="002E4DF3"/>
    <w:rsid w:val="002F0CB9"/>
    <w:rsid w:val="002F231B"/>
    <w:rsid w:val="002F4481"/>
    <w:rsid w:val="002F49BB"/>
    <w:rsid w:val="002F7DD1"/>
    <w:rsid w:val="00300908"/>
    <w:rsid w:val="00304AB3"/>
    <w:rsid w:val="00312351"/>
    <w:rsid w:val="003169C7"/>
    <w:rsid w:val="0031760A"/>
    <w:rsid w:val="003179AD"/>
    <w:rsid w:val="0032255E"/>
    <w:rsid w:val="00324B30"/>
    <w:rsid w:val="0033243A"/>
    <w:rsid w:val="00340F49"/>
    <w:rsid w:val="00341F62"/>
    <w:rsid w:val="00343D32"/>
    <w:rsid w:val="0035034A"/>
    <w:rsid w:val="00351B06"/>
    <w:rsid w:val="003521C3"/>
    <w:rsid w:val="00362F2C"/>
    <w:rsid w:val="00364AC3"/>
    <w:rsid w:val="00373427"/>
    <w:rsid w:val="003848D1"/>
    <w:rsid w:val="00384956"/>
    <w:rsid w:val="00385E03"/>
    <w:rsid w:val="00387EF8"/>
    <w:rsid w:val="003901C4"/>
    <w:rsid w:val="003976B5"/>
    <w:rsid w:val="003A0B1A"/>
    <w:rsid w:val="003A4A2A"/>
    <w:rsid w:val="003A5735"/>
    <w:rsid w:val="003B170E"/>
    <w:rsid w:val="003B4C4B"/>
    <w:rsid w:val="003C172B"/>
    <w:rsid w:val="003C333E"/>
    <w:rsid w:val="003C6CEF"/>
    <w:rsid w:val="003F22E5"/>
    <w:rsid w:val="003F2D27"/>
    <w:rsid w:val="003F2E3B"/>
    <w:rsid w:val="003F5217"/>
    <w:rsid w:val="00402DFA"/>
    <w:rsid w:val="0040415F"/>
    <w:rsid w:val="0040527B"/>
    <w:rsid w:val="00405361"/>
    <w:rsid w:val="00410D54"/>
    <w:rsid w:val="004139B5"/>
    <w:rsid w:val="004139F0"/>
    <w:rsid w:val="00415D56"/>
    <w:rsid w:val="00431BB4"/>
    <w:rsid w:val="0043789D"/>
    <w:rsid w:val="00445267"/>
    <w:rsid w:val="004561FF"/>
    <w:rsid w:val="00461164"/>
    <w:rsid w:val="0046367F"/>
    <w:rsid w:val="004646DC"/>
    <w:rsid w:val="00470777"/>
    <w:rsid w:val="004774BA"/>
    <w:rsid w:val="0047779A"/>
    <w:rsid w:val="00482C89"/>
    <w:rsid w:val="00482EDB"/>
    <w:rsid w:val="00487DC1"/>
    <w:rsid w:val="00493281"/>
    <w:rsid w:val="004958CF"/>
    <w:rsid w:val="00496C05"/>
    <w:rsid w:val="004A40B8"/>
    <w:rsid w:val="004A7B5F"/>
    <w:rsid w:val="004B04C5"/>
    <w:rsid w:val="004B5B72"/>
    <w:rsid w:val="004B5BA7"/>
    <w:rsid w:val="004B5F55"/>
    <w:rsid w:val="004C4B68"/>
    <w:rsid w:val="004C753F"/>
    <w:rsid w:val="004D23F2"/>
    <w:rsid w:val="004D54D2"/>
    <w:rsid w:val="004E0968"/>
    <w:rsid w:val="004E7396"/>
    <w:rsid w:val="004F17F8"/>
    <w:rsid w:val="004F1FBE"/>
    <w:rsid w:val="004F7753"/>
    <w:rsid w:val="004F7F21"/>
    <w:rsid w:val="00502253"/>
    <w:rsid w:val="005038DA"/>
    <w:rsid w:val="0052218C"/>
    <w:rsid w:val="005237AE"/>
    <w:rsid w:val="00530F9F"/>
    <w:rsid w:val="00532DEC"/>
    <w:rsid w:val="005347E6"/>
    <w:rsid w:val="005355E0"/>
    <w:rsid w:val="00542A22"/>
    <w:rsid w:val="005508EC"/>
    <w:rsid w:val="00550D47"/>
    <w:rsid w:val="00552EC8"/>
    <w:rsid w:val="0055674D"/>
    <w:rsid w:val="00557AC7"/>
    <w:rsid w:val="00560BE1"/>
    <w:rsid w:val="00561078"/>
    <w:rsid w:val="00561F85"/>
    <w:rsid w:val="00562772"/>
    <w:rsid w:val="00564234"/>
    <w:rsid w:val="005649B3"/>
    <w:rsid w:val="0056637F"/>
    <w:rsid w:val="00571FC2"/>
    <w:rsid w:val="005734BC"/>
    <w:rsid w:val="00576069"/>
    <w:rsid w:val="00587CBF"/>
    <w:rsid w:val="005939B2"/>
    <w:rsid w:val="005A0141"/>
    <w:rsid w:val="005A7B59"/>
    <w:rsid w:val="005B4B3A"/>
    <w:rsid w:val="005B58A7"/>
    <w:rsid w:val="005B7597"/>
    <w:rsid w:val="005C686B"/>
    <w:rsid w:val="005C6B58"/>
    <w:rsid w:val="005C6EEA"/>
    <w:rsid w:val="005D003D"/>
    <w:rsid w:val="005E7BCB"/>
    <w:rsid w:val="006040E0"/>
    <w:rsid w:val="00604CC3"/>
    <w:rsid w:val="00605573"/>
    <w:rsid w:val="00607C4A"/>
    <w:rsid w:val="00612ED9"/>
    <w:rsid w:val="00625023"/>
    <w:rsid w:val="00625208"/>
    <w:rsid w:val="00632A14"/>
    <w:rsid w:val="0063421A"/>
    <w:rsid w:val="00653585"/>
    <w:rsid w:val="00662469"/>
    <w:rsid w:val="00666EA1"/>
    <w:rsid w:val="006749D1"/>
    <w:rsid w:val="006804B4"/>
    <w:rsid w:val="00683F4C"/>
    <w:rsid w:val="00684A40"/>
    <w:rsid w:val="00687312"/>
    <w:rsid w:val="00687695"/>
    <w:rsid w:val="00696619"/>
    <w:rsid w:val="006A3137"/>
    <w:rsid w:val="006A3783"/>
    <w:rsid w:val="006A53D6"/>
    <w:rsid w:val="006B0FE9"/>
    <w:rsid w:val="006C1E84"/>
    <w:rsid w:val="006C20A7"/>
    <w:rsid w:val="006C38B0"/>
    <w:rsid w:val="006D1A36"/>
    <w:rsid w:val="006D2AEE"/>
    <w:rsid w:val="006D6F3D"/>
    <w:rsid w:val="006E2F17"/>
    <w:rsid w:val="006E5566"/>
    <w:rsid w:val="006E5A0A"/>
    <w:rsid w:val="006E7CED"/>
    <w:rsid w:val="006F50AC"/>
    <w:rsid w:val="00703BAA"/>
    <w:rsid w:val="00705A56"/>
    <w:rsid w:val="0070723A"/>
    <w:rsid w:val="00707369"/>
    <w:rsid w:val="00715902"/>
    <w:rsid w:val="0071674C"/>
    <w:rsid w:val="007209B0"/>
    <w:rsid w:val="00730BC7"/>
    <w:rsid w:val="00732AEF"/>
    <w:rsid w:val="00737853"/>
    <w:rsid w:val="007452B6"/>
    <w:rsid w:val="0075187D"/>
    <w:rsid w:val="0075356E"/>
    <w:rsid w:val="00756B5D"/>
    <w:rsid w:val="00766B27"/>
    <w:rsid w:val="0076720C"/>
    <w:rsid w:val="00770C1B"/>
    <w:rsid w:val="00780AEB"/>
    <w:rsid w:val="0078172C"/>
    <w:rsid w:val="007846F4"/>
    <w:rsid w:val="00785418"/>
    <w:rsid w:val="007A772F"/>
    <w:rsid w:val="007A7E72"/>
    <w:rsid w:val="007B2F30"/>
    <w:rsid w:val="007C4A72"/>
    <w:rsid w:val="007D06AC"/>
    <w:rsid w:val="007E1B20"/>
    <w:rsid w:val="007F2A4D"/>
    <w:rsid w:val="007F2E5B"/>
    <w:rsid w:val="007F7AF7"/>
    <w:rsid w:val="00807049"/>
    <w:rsid w:val="00811326"/>
    <w:rsid w:val="00813C06"/>
    <w:rsid w:val="00832BE1"/>
    <w:rsid w:val="00835D29"/>
    <w:rsid w:val="0084197E"/>
    <w:rsid w:val="008522C2"/>
    <w:rsid w:val="00853907"/>
    <w:rsid w:val="00864DEE"/>
    <w:rsid w:val="00865F65"/>
    <w:rsid w:val="00866ED3"/>
    <w:rsid w:val="00870252"/>
    <w:rsid w:val="008714A7"/>
    <w:rsid w:val="00881EEB"/>
    <w:rsid w:val="0088224B"/>
    <w:rsid w:val="00885223"/>
    <w:rsid w:val="0088742B"/>
    <w:rsid w:val="00887EAA"/>
    <w:rsid w:val="0089705F"/>
    <w:rsid w:val="008974CD"/>
    <w:rsid w:val="008B1345"/>
    <w:rsid w:val="008B1CAD"/>
    <w:rsid w:val="008B43D4"/>
    <w:rsid w:val="008B4CFB"/>
    <w:rsid w:val="008B7D21"/>
    <w:rsid w:val="008C26CC"/>
    <w:rsid w:val="008D3D70"/>
    <w:rsid w:val="008D7810"/>
    <w:rsid w:val="008E0ECE"/>
    <w:rsid w:val="008E4EEB"/>
    <w:rsid w:val="008E59A7"/>
    <w:rsid w:val="008F063F"/>
    <w:rsid w:val="00906767"/>
    <w:rsid w:val="009113BD"/>
    <w:rsid w:val="00912EF8"/>
    <w:rsid w:val="009174F1"/>
    <w:rsid w:val="00922240"/>
    <w:rsid w:val="00924649"/>
    <w:rsid w:val="009259CA"/>
    <w:rsid w:val="00926DCD"/>
    <w:rsid w:val="00932D3E"/>
    <w:rsid w:val="00943A26"/>
    <w:rsid w:val="00944C84"/>
    <w:rsid w:val="00945820"/>
    <w:rsid w:val="00952028"/>
    <w:rsid w:val="0095297E"/>
    <w:rsid w:val="00953570"/>
    <w:rsid w:val="009551A9"/>
    <w:rsid w:val="00957C7B"/>
    <w:rsid w:val="009900C7"/>
    <w:rsid w:val="009912C5"/>
    <w:rsid w:val="00992405"/>
    <w:rsid w:val="009926ED"/>
    <w:rsid w:val="00994662"/>
    <w:rsid w:val="00994907"/>
    <w:rsid w:val="009B19F1"/>
    <w:rsid w:val="009B3EF1"/>
    <w:rsid w:val="009C3C24"/>
    <w:rsid w:val="009C6DD1"/>
    <w:rsid w:val="009C7F3D"/>
    <w:rsid w:val="009D6382"/>
    <w:rsid w:val="009E44BA"/>
    <w:rsid w:val="009E4AD9"/>
    <w:rsid w:val="009E4D5F"/>
    <w:rsid w:val="009E506A"/>
    <w:rsid w:val="009E707E"/>
    <w:rsid w:val="009E7474"/>
    <w:rsid w:val="009F1E23"/>
    <w:rsid w:val="00A035AE"/>
    <w:rsid w:val="00A04D91"/>
    <w:rsid w:val="00A16F17"/>
    <w:rsid w:val="00A2110E"/>
    <w:rsid w:val="00A218C1"/>
    <w:rsid w:val="00A21C09"/>
    <w:rsid w:val="00A24E34"/>
    <w:rsid w:val="00A26D85"/>
    <w:rsid w:val="00A26E1D"/>
    <w:rsid w:val="00A27064"/>
    <w:rsid w:val="00A35B56"/>
    <w:rsid w:val="00A37406"/>
    <w:rsid w:val="00A45B7F"/>
    <w:rsid w:val="00A46452"/>
    <w:rsid w:val="00A51D78"/>
    <w:rsid w:val="00A53E8A"/>
    <w:rsid w:val="00A601A2"/>
    <w:rsid w:val="00A63D75"/>
    <w:rsid w:val="00A661E2"/>
    <w:rsid w:val="00A765AC"/>
    <w:rsid w:val="00A77D6B"/>
    <w:rsid w:val="00A81646"/>
    <w:rsid w:val="00A84D97"/>
    <w:rsid w:val="00A85027"/>
    <w:rsid w:val="00A93291"/>
    <w:rsid w:val="00A933F5"/>
    <w:rsid w:val="00AA290B"/>
    <w:rsid w:val="00AA2E85"/>
    <w:rsid w:val="00AA3FAE"/>
    <w:rsid w:val="00AA70B5"/>
    <w:rsid w:val="00AA7EAE"/>
    <w:rsid w:val="00AB0A5A"/>
    <w:rsid w:val="00AC25E2"/>
    <w:rsid w:val="00AC3051"/>
    <w:rsid w:val="00AC44C3"/>
    <w:rsid w:val="00AC553A"/>
    <w:rsid w:val="00AC5A84"/>
    <w:rsid w:val="00AE4ACB"/>
    <w:rsid w:val="00AF05F2"/>
    <w:rsid w:val="00AF4491"/>
    <w:rsid w:val="00AF7716"/>
    <w:rsid w:val="00B0062A"/>
    <w:rsid w:val="00B06DA9"/>
    <w:rsid w:val="00B204E7"/>
    <w:rsid w:val="00B2364A"/>
    <w:rsid w:val="00B25314"/>
    <w:rsid w:val="00B26539"/>
    <w:rsid w:val="00B328E2"/>
    <w:rsid w:val="00B33EE7"/>
    <w:rsid w:val="00B34B5A"/>
    <w:rsid w:val="00B40018"/>
    <w:rsid w:val="00B403D4"/>
    <w:rsid w:val="00B447E6"/>
    <w:rsid w:val="00B46699"/>
    <w:rsid w:val="00B54FE2"/>
    <w:rsid w:val="00B72A52"/>
    <w:rsid w:val="00B74D0D"/>
    <w:rsid w:val="00B83738"/>
    <w:rsid w:val="00B87F6F"/>
    <w:rsid w:val="00B97129"/>
    <w:rsid w:val="00BA2D04"/>
    <w:rsid w:val="00BA5E1C"/>
    <w:rsid w:val="00BA5EDA"/>
    <w:rsid w:val="00BA684C"/>
    <w:rsid w:val="00BB35E5"/>
    <w:rsid w:val="00BB4827"/>
    <w:rsid w:val="00BC28F3"/>
    <w:rsid w:val="00BC78CF"/>
    <w:rsid w:val="00BD17DA"/>
    <w:rsid w:val="00BD48C4"/>
    <w:rsid w:val="00BD6541"/>
    <w:rsid w:val="00BD738F"/>
    <w:rsid w:val="00BE0BE9"/>
    <w:rsid w:val="00BE22B6"/>
    <w:rsid w:val="00BF29CB"/>
    <w:rsid w:val="00BF33F7"/>
    <w:rsid w:val="00BF3EB7"/>
    <w:rsid w:val="00BF6DFF"/>
    <w:rsid w:val="00C00903"/>
    <w:rsid w:val="00C05BB5"/>
    <w:rsid w:val="00C11C51"/>
    <w:rsid w:val="00C11F54"/>
    <w:rsid w:val="00C14D58"/>
    <w:rsid w:val="00C15F89"/>
    <w:rsid w:val="00C22AF4"/>
    <w:rsid w:val="00C245B8"/>
    <w:rsid w:val="00C25734"/>
    <w:rsid w:val="00C27EF7"/>
    <w:rsid w:val="00C31487"/>
    <w:rsid w:val="00C330D5"/>
    <w:rsid w:val="00C33EEF"/>
    <w:rsid w:val="00C34B6D"/>
    <w:rsid w:val="00C447AC"/>
    <w:rsid w:val="00C45DB2"/>
    <w:rsid w:val="00C53D68"/>
    <w:rsid w:val="00C607C0"/>
    <w:rsid w:val="00C7223F"/>
    <w:rsid w:val="00C72915"/>
    <w:rsid w:val="00C85269"/>
    <w:rsid w:val="00C92F7E"/>
    <w:rsid w:val="00C975EA"/>
    <w:rsid w:val="00CA267C"/>
    <w:rsid w:val="00CA2C1E"/>
    <w:rsid w:val="00CA2F8B"/>
    <w:rsid w:val="00CB162A"/>
    <w:rsid w:val="00CB3C92"/>
    <w:rsid w:val="00CC31C4"/>
    <w:rsid w:val="00CC614A"/>
    <w:rsid w:val="00CD1838"/>
    <w:rsid w:val="00CD3CA4"/>
    <w:rsid w:val="00CD5BFB"/>
    <w:rsid w:val="00CD79A8"/>
    <w:rsid w:val="00CE123B"/>
    <w:rsid w:val="00CF1634"/>
    <w:rsid w:val="00CF481F"/>
    <w:rsid w:val="00CF4D2F"/>
    <w:rsid w:val="00CF620B"/>
    <w:rsid w:val="00D04CF3"/>
    <w:rsid w:val="00D104F6"/>
    <w:rsid w:val="00D10A73"/>
    <w:rsid w:val="00D16A9A"/>
    <w:rsid w:val="00D17D74"/>
    <w:rsid w:val="00D224C9"/>
    <w:rsid w:val="00D27582"/>
    <w:rsid w:val="00D355CC"/>
    <w:rsid w:val="00D418AD"/>
    <w:rsid w:val="00D51E3A"/>
    <w:rsid w:val="00D523ED"/>
    <w:rsid w:val="00D54D42"/>
    <w:rsid w:val="00D57255"/>
    <w:rsid w:val="00D65253"/>
    <w:rsid w:val="00D67F2F"/>
    <w:rsid w:val="00D7562B"/>
    <w:rsid w:val="00D76857"/>
    <w:rsid w:val="00D76F6E"/>
    <w:rsid w:val="00D8082F"/>
    <w:rsid w:val="00D83A9F"/>
    <w:rsid w:val="00D84224"/>
    <w:rsid w:val="00D918B8"/>
    <w:rsid w:val="00D956D6"/>
    <w:rsid w:val="00DA1F42"/>
    <w:rsid w:val="00DA3F49"/>
    <w:rsid w:val="00DC21C1"/>
    <w:rsid w:val="00DC331A"/>
    <w:rsid w:val="00DD042C"/>
    <w:rsid w:val="00DD07BD"/>
    <w:rsid w:val="00DD60E2"/>
    <w:rsid w:val="00DE36BD"/>
    <w:rsid w:val="00DE67F4"/>
    <w:rsid w:val="00DF01D0"/>
    <w:rsid w:val="00DF28E0"/>
    <w:rsid w:val="00DF5B75"/>
    <w:rsid w:val="00DF66F0"/>
    <w:rsid w:val="00E00579"/>
    <w:rsid w:val="00E037D5"/>
    <w:rsid w:val="00E04A87"/>
    <w:rsid w:val="00E07600"/>
    <w:rsid w:val="00E122FB"/>
    <w:rsid w:val="00E15A94"/>
    <w:rsid w:val="00E27BBF"/>
    <w:rsid w:val="00E33406"/>
    <w:rsid w:val="00E3698A"/>
    <w:rsid w:val="00E42658"/>
    <w:rsid w:val="00E46C2A"/>
    <w:rsid w:val="00E500C5"/>
    <w:rsid w:val="00E51E85"/>
    <w:rsid w:val="00E52A20"/>
    <w:rsid w:val="00E55D1E"/>
    <w:rsid w:val="00E5668E"/>
    <w:rsid w:val="00E57029"/>
    <w:rsid w:val="00E609B5"/>
    <w:rsid w:val="00E61DE0"/>
    <w:rsid w:val="00E63122"/>
    <w:rsid w:val="00E63F06"/>
    <w:rsid w:val="00E64886"/>
    <w:rsid w:val="00E6798F"/>
    <w:rsid w:val="00E67E0B"/>
    <w:rsid w:val="00E7751B"/>
    <w:rsid w:val="00E808A2"/>
    <w:rsid w:val="00E809E7"/>
    <w:rsid w:val="00E90079"/>
    <w:rsid w:val="00E92EB2"/>
    <w:rsid w:val="00EA73E5"/>
    <w:rsid w:val="00EB3664"/>
    <w:rsid w:val="00EB3AF7"/>
    <w:rsid w:val="00ED74D3"/>
    <w:rsid w:val="00EE2B0A"/>
    <w:rsid w:val="00EE3198"/>
    <w:rsid w:val="00EE31DA"/>
    <w:rsid w:val="00EF57C9"/>
    <w:rsid w:val="00F0297E"/>
    <w:rsid w:val="00F077A3"/>
    <w:rsid w:val="00F07B1B"/>
    <w:rsid w:val="00F10471"/>
    <w:rsid w:val="00F112F6"/>
    <w:rsid w:val="00F158EE"/>
    <w:rsid w:val="00F15EF8"/>
    <w:rsid w:val="00F32774"/>
    <w:rsid w:val="00F448E2"/>
    <w:rsid w:val="00F52357"/>
    <w:rsid w:val="00F529D7"/>
    <w:rsid w:val="00F5322B"/>
    <w:rsid w:val="00F56AEB"/>
    <w:rsid w:val="00F6131B"/>
    <w:rsid w:val="00F61D17"/>
    <w:rsid w:val="00F67B2B"/>
    <w:rsid w:val="00F7451E"/>
    <w:rsid w:val="00F77D76"/>
    <w:rsid w:val="00F80B45"/>
    <w:rsid w:val="00F862F2"/>
    <w:rsid w:val="00F9005F"/>
    <w:rsid w:val="00F910F0"/>
    <w:rsid w:val="00F954B8"/>
    <w:rsid w:val="00FA00C8"/>
    <w:rsid w:val="00FA440F"/>
    <w:rsid w:val="00FB04E0"/>
    <w:rsid w:val="00FB795E"/>
    <w:rsid w:val="00FC144A"/>
    <w:rsid w:val="00FC5406"/>
    <w:rsid w:val="00FD075D"/>
    <w:rsid w:val="00FD491E"/>
    <w:rsid w:val="00FE6719"/>
    <w:rsid w:val="00FF2385"/>
    <w:rsid w:val="00FF6205"/>
    <w:rsid w:val="00FF69EA"/>
    <w:rsid w:val="00FF7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EC6354"/>
  <w15:chartTrackingRefBased/>
  <w15:docId w15:val="{1276B771-834B-4A4F-948C-F54680CA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1F42"/>
    <w:pPr>
      <w:widowControl w:val="0"/>
      <w:jc w:val="both"/>
    </w:pPr>
  </w:style>
  <w:style w:type="paragraph" w:styleId="1">
    <w:name w:val="heading 1"/>
    <w:basedOn w:val="a"/>
    <w:next w:val="a"/>
    <w:link w:val="10"/>
    <w:uiPriority w:val="9"/>
    <w:qFormat/>
    <w:rsid w:val="00CD1838"/>
    <w:pPr>
      <w:keepNext/>
      <w:keepLines/>
      <w:spacing w:before="340" w:after="330" w:line="578" w:lineRule="auto"/>
      <w:outlineLvl w:val="0"/>
    </w:pPr>
    <w:rPr>
      <w:b/>
      <w:bCs/>
      <w:kern w:val="44"/>
      <w:sz w:val="44"/>
      <w:szCs w:val="44"/>
    </w:rPr>
  </w:style>
  <w:style w:type="paragraph" w:styleId="3">
    <w:name w:val="heading 3"/>
    <w:basedOn w:val="a"/>
    <w:next w:val="a"/>
    <w:link w:val="30"/>
    <w:uiPriority w:val="9"/>
    <w:semiHidden/>
    <w:unhideWhenUsed/>
    <w:qFormat/>
    <w:rsid w:val="00CD1838"/>
    <w:pPr>
      <w:keepNext/>
      <w:keepLines/>
      <w:spacing w:before="260" w:after="260" w:line="416" w:lineRule="auto"/>
      <w:outlineLvl w:val="2"/>
    </w:pPr>
    <w:rPr>
      <w:b/>
      <w:bCs/>
      <w:sz w:val="32"/>
      <w:szCs w:val="32"/>
    </w:rPr>
  </w:style>
  <w:style w:type="paragraph" w:styleId="4">
    <w:name w:val="heading 4"/>
    <w:aliases w:val="h4"/>
    <w:basedOn w:val="3"/>
    <w:next w:val="a"/>
    <w:link w:val="40"/>
    <w:semiHidden/>
    <w:unhideWhenUsed/>
    <w:qFormat/>
    <w:rsid w:val="00CD1838"/>
    <w:pPr>
      <w:widowControl/>
      <w:overflowPunct w:val="0"/>
      <w:autoSpaceDE w:val="0"/>
      <w:autoSpaceDN w:val="0"/>
      <w:adjustRightInd w:val="0"/>
      <w:spacing w:before="120" w:after="180" w:line="240" w:lineRule="auto"/>
      <w:ind w:left="1418" w:hanging="1418"/>
      <w:jc w:val="left"/>
      <w:outlineLvl w:val="3"/>
    </w:pPr>
    <w:rPr>
      <w:rFonts w:ascii="Arial" w:eastAsia="Times New Roman" w:hAnsi="Arial" w:cs="Times New Roman"/>
      <w:b w:val="0"/>
      <w:bCs w:val="0"/>
      <w:kern w:val="0"/>
      <w:sz w:val="24"/>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FA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A3FAE"/>
    <w:rPr>
      <w:sz w:val="18"/>
      <w:szCs w:val="18"/>
    </w:rPr>
  </w:style>
  <w:style w:type="paragraph" w:styleId="a5">
    <w:name w:val="footer"/>
    <w:basedOn w:val="a"/>
    <w:link w:val="a6"/>
    <w:uiPriority w:val="99"/>
    <w:unhideWhenUsed/>
    <w:rsid w:val="00AA3FAE"/>
    <w:pPr>
      <w:tabs>
        <w:tab w:val="center" w:pos="4153"/>
        <w:tab w:val="right" w:pos="8306"/>
      </w:tabs>
      <w:snapToGrid w:val="0"/>
      <w:jc w:val="left"/>
    </w:pPr>
    <w:rPr>
      <w:sz w:val="18"/>
      <w:szCs w:val="18"/>
    </w:rPr>
  </w:style>
  <w:style w:type="character" w:customStyle="1" w:styleId="a6">
    <w:name w:val="页脚 字符"/>
    <w:basedOn w:val="a0"/>
    <w:link w:val="a5"/>
    <w:uiPriority w:val="99"/>
    <w:rsid w:val="00AA3FAE"/>
    <w:rPr>
      <w:sz w:val="18"/>
      <w:szCs w:val="18"/>
    </w:rPr>
  </w:style>
  <w:style w:type="character" w:styleId="a7">
    <w:name w:val="page number"/>
    <w:semiHidden/>
    <w:rsid w:val="00AA3FAE"/>
  </w:style>
  <w:style w:type="paragraph" w:styleId="a8">
    <w:name w:val="Balloon Text"/>
    <w:basedOn w:val="a"/>
    <w:link w:val="a9"/>
    <w:uiPriority w:val="99"/>
    <w:semiHidden/>
    <w:unhideWhenUsed/>
    <w:rsid w:val="00F52357"/>
    <w:rPr>
      <w:sz w:val="18"/>
      <w:szCs w:val="18"/>
    </w:rPr>
  </w:style>
  <w:style w:type="character" w:customStyle="1" w:styleId="a9">
    <w:name w:val="批注框文本 字符"/>
    <w:basedOn w:val="a0"/>
    <w:link w:val="a8"/>
    <w:uiPriority w:val="99"/>
    <w:semiHidden/>
    <w:rsid w:val="00F52357"/>
    <w:rPr>
      <w:sz w:val="18"/>
      <w:szCs w:val="18"/>
    </w:rPr>
  </w:style>
  <w:style w:type="character" w:styleId="aa">
    <w:name w:val="annotation reference"/>
    <w:basedOn w:val="a0"/>
    <w:uiPriority w:val="99"/>
    <w:semiHidden/>
    <w:unhideWhenUsed/>
    <w:rsid w:val="000566E1"/>
    <w:rPr>
      <w:sz w:val="21"/>
      <w:szCs w:val="21"/>
    </w:rPr>
  </w:style>
  <w:style w:type="table" w:styleId="ab">
    <w:name w:val="Table Grid"/>
    <w:basedOn w:val="a1"/>
    <w:uiPriority w:val="39"/>
    <w:rsid w:val="00C53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1F0325"/>
    <w:pPr>
      <w:ind w:firstLineChars="200" w:firstLine="420"/>
    </w:pPr>
  </w:style>
  <w:style w:type="paragraph" w:styleId="ad">
    <w:name w:val="annotation text"/>
    <w:basedOn w:val="a"/>
    <w:link w:val="ae"/>
    <w:uiPriority w:val="99"/>
    <w:semiHidden/>
    <w:unhideWhenUsed/>
    <w:rsid w:val="0032255E"/>
    <w:pPr>
      <w:jc w:val="left"/>
    </w:pPr>
  </w:style>
  <w:style w:type="character" w:customStyle="1" w:styleId="ae">
    <w:name w:val="批注文字 字符"/>
    <w:basedOn w:val="a0"/>
    <w:link w:val="ad"/>
    <w:uiPriority w:val="99"/>
    <w:semiHidden/>
    <w:rsid w:val="0032255E"/>
  </w:style>
  <w:style w:type="paragraph" w:styleId="af">
    <w:name w:val="annotation subject"/>
    <w:basedOn w:val="ad"/>
    <w:next w:val="ad"/>
    <w:link w:val="af0"/>
    <w:uiPriority w:val="99"/>
    <w:semiHidden/>
    <w:unhideWhenUsed/>
    <w:rsid w:val="0032255E"/>
    <w:rPr>
      <w:b/>
      <w:bCs/>
    </w:rPr>
  </w:style>
  <w:style w:type="character" w:customStyle="1" w:styleId="af0">
    <w:name w:val="批注主题 字符"/>
    <w:basedOn w:val="ae"/>
    <w:link w:val="af"/>
    <w:uiPriority w:val="99"/>
    <w:semiHidden/>
    <w:rsid w:val="0032255E"/>
    <w:rPr>
      <w:b/>
      <w:bCs/>
    </w:rPr>
  </w:style>
  <w:style w:type="paragraph" w:customStyle="1" w:styleId="Agreement">
    <w:name w:val="Agreement"/>
    <w:basedOn w:val="a"/>
    <w:next w:val="a"/>
    <w:qFormat/>
    <w:rsid w:val="00277010"/>
    <w:pPr>
      <w:widowControl/>
      <w:numPr>
        <w:numId w:val="4"/>
      </w:numPr>
      <w:spacing w:before="60"/>
      <w:jc w:val="left"/>
    </w:pPr>
    <w:rPr>
      <w:rFonts w:ascii="Arial" w:eastAsia="MS Mincho" w:hAnsi="Arial" w:cs="Times New Roman"/>
      <w:b/>
      <w:kern w:val="0"/>
      <w:sz w:val="20"/>
      <w:szCs w:val="24"/>
      <w:lang w:val="en-GB" w:eastAsia="en-GB"/>
    </w:rPr>
  </w:style>
  <w:style w:type="character" w:styleId="af1">
    <w:name w:val="Hyperlink"/>
    <w:uiPriority w:val="99"/>
    <w:unhideWhenUsed/>
    <w:qFormat/>
    <w:rsid w:val="00286C7E"/>
    <w:rPr>
      <w:color w:val="0000FF"/>
      <w:u w:val="single"/>
    </w:rPr>
  </w:style>
  <w:style w:type="paragraph" w:customStyle="1" w:styleId="Doc-title">
    <w:name w:val="Doc-title"/>
    <w:basedOn w:val="a"/>
    <w:next w:val="a"/>
    <w:link w:val="Doc-titleChar"/>
    <w:qFormat/>
    <w:rsid w:val="00286C7E"/>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286C7E"/>
    <w:rPr>
      <w:rFonts w:ascii="Arial" w:eastAsia="MS Mincho" w:hAnsi="Arial" w:cs="Times New Roman"/>
      <w:noProof/>
      <w:kern w:val="0"/>
      <w:sz w:val="20"/>
      <w:szCs w:val="24"/>
      <w:lang w:val="en-GB" w:eastAsia="en-GB"/>
    </w:rPr>
  </w:style>
  <w:style w:type="character" w:customStyle="1" w:styleId="B1Zchn">
    <w:name w:val="B1 Zchn"/>
    <w:link w:val="B1"/>
    <w:qFormat/>
    <w:locked/>
    <w:rsid w:val="00E33406"/>
    <w:rPr>
      <w:rFonts w:ascii="Times New Roman" w:eastAsia="Times New Roman" w:hAnsi="Times New Roman" w:cs="Times New Roman"/>
    </w:rPr>
  </w:style>
  <w:style w:type="paragraph" w:customStyle="1" w:styleId="B1">
    <w:name w:val="B1"/>
    <w:basedOn w:val="af2"/>
    <w:link w:val="B1Zchn"/>
    <w:rsid w:val="00E33406"/>
    <w:pPr>
      <w:widowControl/>
      <w:overflowPunct w:val="0"/>
      <w:autoSpaceDE w:val="0"/>
      <w:autoSpaceDN w:val="0"/>
      <w:adjustRightInd w:val="0"/>
      <w:spacing w:after="180"/>
      <w:ind w:left="568" w:firstLineChars="0" w:hanging="284"/>
      <w:contextualSpacing w:val="0"/>
      <w:jc w:val="left"/>
    </w:pPr>
    <w:rPr>
      <w:rFonts w:ascii="Times New Roman" w:eastAsia="Times New Roman" w:hAnsi="Times New Roman" w:cs="Times New Roman"/>
    </w:rPr>
  </w:style>
  <w:style w:type="paragraph" w:styleId="af2">
    <w:name w:val="List"/>
    <w:basedOn w:val="a"/>
    <w:uiPriority w:val="99"/>
    <w:semiHidden/>
    <w:unhideWhenUsed/>
    <w:rsid w:val="00E33406"/>
    <w:pPr>
      <w:ind w:left="200" w:hangingChars="200" w:hanging="200"/>
      <w:contextualSpacing/>
    </w:pPr>
  </w:style>
  <w:style w:type="character" w:customStyle="1" w:styleId="40">
    <w:name w:val="标题 4 字符"/>
    <w:aliases w:val="h4 字符"/>
    <w:basedOn w:val="a0"/>
    <w:link w:val="4"/>
    <w:semiHidden/>
    <w:rsid w:val="00CD1838"/>
    <w:rPr>
      <w:rFonts w:ascii="Arial" w:eastAsia="Times New Roman" w:hAnsi="Arial" w:cs="Times New Roman"/>
      <w:kern w:val="0"/>
      <w:sz w:val="24"/>
      <w:szCs w:val="20"/>
      <w:lang w:val="en-GB" w:eastAsia="en-GB"/>
    </w:rPr>
  </w:style>
  <w:style w:type="character" w:customStyle="1" w:styleId="B1Char1">
    <w:name w:val="B1 Char1"/>
    <w:locked/>
    <w:rsid w:val="00CD1838"/>
    <w:rPr>
      <w:rFonts w:ascii="Times New Roman" w:eastAsia="Times New Roman" w:hAnsi="Times New Roman" w:cs="Times New Roman"/>
      <w:lang w:val="en-GB" w:eastAsia="en-GB"/>
    </w:rPr>
  </w:style>
  <w:style w:type="character" w:customStyle="1" w:styleId="TFZchn">
    <w:name w:val="TF Zchn"/>
    <w:link w:val="TF"/>
    <w:locked/>
    <w:rsid w:val="00CD1838"/>
    <w:rPr>
      <w:rFonts w:ascii="Arial" w:eastAsia="Times New Roman" w:hAnsi="Arial" w:cs="Arial"/>
      <w:b/>
      <w:lang w:val="en-GB" w:eastAsia="en-GB"/>
    </w:rPr>
  </w:style>
  <w:style w:type="paragraph" w:customStyle="1" w:styleId="TF">
    <w:name w:val="TF"/>
    <w:aliases w:val="left"/>
    <w:basedOn w:val="a"/>
    <w:link w:val="TFZchn"/>
    <w:rsid w:val="00CD1838"/>
    <w:pPr>
      <w:keepLines/>
      <w:widowControl/>
      <w:overflowPunct w:val="0"/>
      <w:autoSpaceDE w:val="0"/>
      <w:autoSpaceDN w:val="0"/>
      <w:adjustRightInd w:val="0"/>
      <w:spacing w:after="240"/>
      <w:jc w:val="center"/>
    </w:pPr>
    <w:rPr>
      <w:rFonts w:ascii="Arial" w:eastAsia="Times New Roman" w:hAnsi="Arial" w:cs="Arial"/>
      <w:b/>
      <w:lang w:val="en-GB" w:eastAsia="en-GB"/>
    </w:rPr>
  </w:style>
  <w:style w:type="character" w:customStyle="1" w:styleId="30">
    <w:name w:val="标题 3 字符"/>
    <w:basedOn w:val="a0"/>
    <w:link w:val="3"/>
    <w:uiPriority w:val="9"/>
    <w:semiHidden/>
    <w:rsid w:val="00CD1838"/>
    <w:rPr>
      <w:b/>
      <w:bCs/>
      <w:sz w:val="32"/>
      <w:szCs w:val="32"/>
    </w:rPr>
  </w:style>
  <w:style w:type="character" w:customStyle="1" w:styleId="10">
    <w:name w:val="标题 1 字符"/>
    <w:basedOn w:val="a0"/>
    <w:link w:val="1"/>
    <w:uiPriority w:val="9"/>
    <w:rsid w:val="00CD1838"/>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793177">
      <w:bodyDiv w:val="1"/>
      <w:marLeft w:val="0"/>
      <w:marRight w:val="0"/>
      <w:marTop w:val="0"/>
      <w:marBottom w:val="0"/>
      <w:divBdr>
        <w:top w:val="none" w:sz="0" w:space="0" w:color="auto"/>
        <w:left w:val="none" w:sz="0" w:space="0" w:color="auto"/>
        <w:bottom w:val="none" w:sz="0" w:space="0" w:color="auto"/>
        <w:right w:val="none" w:sz="0" w:space="0" w:color="auto"/>
      </w:divBdr>
    </w:div>
    <w:div w:id="238179848">
      <w:bodyDiv w:val="1"/>
      <w:marLeft w:val="0"/>
      <w:marRight w:val="0"/>
      <w:marTop w:val="0"/>
      <w:marBottom w:val="0"/>
      <w:divBdr>
        <w:top w:val="none" w:sz="0" w:space="0" w:color="auto"/>
        <w:left w:val="none" w:sz="0" w:space="0" w:color="auto"/>
        <w:bottom w:val="none" w:sz="0" w:space="0" w:color="auto"/>
        <w:right w:val="none" w:sz="0" w:space="0" w:color="auto"/>
      </w:divBdr>
    </w:div>
    <w:div w:id="275601178">
      <w:bodyDiv w:val="1"/>
      <w:marLeft w:val="0"/>
      <w:marRight w:val="0"/>
      <w:marTop w:val="0"/>
      <w:marBottom w:val="0"/>
      <w:divBdr>
        <w:top w:val="none" w:sz="0" w:space="0" w:color="auto"/>
        <w:left w:val="none" w:sz="0" w:space="0" w:color="auto"/>
        <w:bottom w:val="none" w:sz="0" w:space="0" w:color="auto"/>
        <w:right w:val="none" w:sz="0" w:space="0" w:color="auto"/>
      </w:divBdr>
    </w:div>
    <w:div w:id="358165023">
      <w:bodyDiv w:val="1"/>
      <w:marLeft w:val="0"/>
      <w:marRight w:val="0"/>
      <w:marTop w:val="0"/>
      <w:marBottom w:val="0"/>
      <w:divBdr>
        <w:top w:val="none" w:sz="0" w:space="0" w:color="auto"/>
        <w:left w:val="none" w:sz="0" w:space="0" w:color="auto"/>
        <w:bottom w:val="none" w:sz="0" w:space="0" w:color="auto"/>
        <w:right w:val="none" w:sz="0" w:space="0" w:color="auto"/>
      </w:divBdr>
    </w:div>
    <w:div w:id="540704182">
      <w:bodyDiv w:val="1"/>
      <w:marLeft w:val="0"/>
      <w:marRight w:val="0"/>
      <w:marTop w:val="0"/>
      <w:marBottom w:val="0"/>
      <w:divBdr>
        <w:top w:val="none" w:sz="0" w:space="0" w:color="auto"/>
        <w:left w:val="none" w:sz="0" w:space="0" w:color="auto"/>
        <w:bottom w:val="none" w:sz="0" w:space="0" w:color="auto"/>
        <w:right w:val="none" w:sz="0" w:space="0" w:color="auto"/>
      </w:divBdr>
      <w:divsChild>
        <w:div w:id="1592932474">
          <w:marLeft w:val="274"/>
          <w:marRight w:val="0"/>
          <w:marTop w:val="120"/>
          <w:marBottom w:val="180"/>
          <w:divBdr>
            <w:top w:val="none" w:sz="0" w:space="0" w:color="auto"/>
            <w:left w:val="none" w:sz="0" w:space="0" w:color="auto"/>
            <w:bottom w:val="none" w:sz="0" w:space="0" w:color="auto"/>
            <w:right w:val="none" w:sz="0" w:space="0" w:color="auto"/>
          </w:divBdr>
        </w:div>
        <w:div w:id="1034118298">
          <w:marLeft w:val="965"/>
          <w:marRight w:val="0"/>
          <w:marTop w:val="0"/>
          <w:marBottom w:val="180"/>
          <w:divBdr>
            <w:top w:val="none" w:sz="0" w:space="0" w:color="auto"/>
            <w:left w:val="none" w:sz="0" w:space="0" w:color="auto"/>
            <w:bottom w:val="none" w:sz="0" w:space="0" w:color="auto"/>
            <w:right w:val="none" w:sz="0" w:space="0" w:color="auto"/>
          </w:divBdr>
        </w:div>
        <w:div w:id="1614285558">
          <w:marLeft w:val="965"/>
          <w:marRight w:val="0"/>
          <w:marTop w:val="0"/>
          <w:marBottom w:val="180"/>
          <w:divBdr>
            <w:top w:val="none" w:sz="0" w:space="0" w:color="auto"/>
            <w:left w:val="none" w:sz="0" w:space="0" w:color="auto"/>
            <w:bottom w:val="none" w:sz="0" w:space="0" w:color="auto"/>
            <w:right w:val="none" w:sz="0" w:space="0" w:color="auto"/>
          </w:divBdr>
        </w:div>
        <w:div w:id="862088640">
          <w:marLeft w:val="965"/>
          <w:marRight w:val="0"/>
          <w:marTop w:val="0"/>
          <w:marBottom w:val="180"/>
          <w:divBdr>
            <w:top w:val="none" w:sz="0" w:space="0" w:color="auto"/>
            <w:left w:val="none" w:sz="0" w:space="0" w:color="auto"/>
            <w:bottom w:val="none" w:sz="0" w:space="0" w:color="auto"/>
            <w:right w:val="none" w:sz="0" w:space="0" w:color="auto"/>
          </w:divBdr>
        </w:div>
        <w:div w:id="1571497421">
          <w:marLeft w:val="274"/>
          <w:marRight w:val="0"/>
          <w:marTop w:val="120"/>
          <w:marBottom w:val="180"/>
          <w:divBdr>
            <w:top w:val="none" w:sz="0" w:space="0" w:color="auto"/>
            <w:left w:val="none" w:sz="0" w:space="0" w:color="auto"/>
            <w:bottom w:val="none" w:sz="0" w:space="0" w:color="auto"/>
            <w:right w:val="none" w:sz="0" w:space="0" w:color="auto"/>
          </w:divBdr>
        </w:div>
        <w:div w:id="1998726088">
          <w:marLeft w:val="965"/>
          <w:marRight w:val="0"/>
          <w:marTop w:val="0"/>
          <w:marBottom w:val="180"/>
          <w:divBdr>
            <w:top w:val="none" w:sz="0" w:space="0" w:color="auto"/>
            <w:left w:val="none" w:sz="0" w:space="0" w:color="auto"/>
            <w:bottom w:val="none" w:sz="0" w:space="0" w:color="auto"/>
            <w:right w:val="none" w:sz="0" w:space="0" w:color="auto"/>
          </w:divBdr>
        </w:div>
        <w:div w:id="1869415657">
          <w:marLeft w:val="965"/>
          <w:marRight w:val="0"/>
          <w:marTop w:val="0"/>
          <w:marBottom w:val="180"/>
          <w:divBdr>
            <w:top w:val="none" w:sz="0" w:space="0" w:color="auto"/>
            <w:left w:val="none" w:sz="0" w:space="0" w:color="auto"/>
            <w:bottom w:val="none" w:sz="0" w:space="0" w:color="auto"/>
            <w:right w:val="none" w:sz="0" w:space="0" w:color="auto"/>
          </w:divBdr>
        </w:div>
        <w:div w:id="2000502737">
          <w:marLeft w:val="965"/>
          <w:marRight w:val="0"/>
          <w:marTop w:val="0"/>
          <w:marBottom w:val="180"/>
          <w:divBdr>
            <w:top w:val="none" w:sz="0" w:space="0" w:color="auto"/>
            <w:left w:val="none" w:sz="0" w:space="0" w:color="auto"/>
            <w:bottom w:val="none" w:sz="0" w:space="0" w:color="auto"/>
            <w:right w:val="none" w:sz="0" w:space="0" w:color="auto"/>
          </w:divBdr>
        </w:div>
        <w:div w:id="1056012013">
          <w:marLeft w:val="274"/>
          <w:marRight w:val="0"/>
          <w:marTop w:val="120"/>
          <w:marBottom w:val="180"/>
          <w:divBdr>
            <w:top w:val="none" w:sz="0" w:space="0" w:color="auto"/>
            <w:left w:val="none" w:sz="0" w:space="0" w:color="auto"/>
            <w:bottom w:val="none" w:sz="0" w:space="0" w:color="auto"/>
            <w:right w:val="none" w:sz="0" w:space="0" w:color="auto"/>
          </w:divBdr>
        </w:div>
        <w:div w:id="2072802971">
          <w:marLeft w:val="965"/>
          <w:marRight w:val="0"/>
          <w:marTop w:val="0"/>
          <w:marBottom w:val="180"/>
          <w:divBdr>
            <w:top w:val="none" w:sz="0" w:space="0" w:color="auto"/>
            <w:left w:val="none" w:sz="0" w:space="0" w:color="auto"/>
            <w:bottom w:val="none" w:sz="0" w:space="0" w:color="auto"/>
            <w:right w:val="none" w:sz="0" w:space="0" w:color="auto"/>
          </w:divBdr>
        </w:div>
        <w:div w:id="475873202">
          <w:marLeft w:val="1310"/>
          <w:marRight w:val="0"/>
          <w:marTop w:val="0"/>
          <w:marBottom w:val="180"/>
          <w:divBdr>
            <w:top w:val="none" w:sz="0" w:space="0" w:color="auto"/>
            <w:left w:val="none" w:sz="0" w:space="0" w:color="auto"/>
            <w:bottom w:val="none" w:sz="0" w:space="0" w:color="auto"/>
            <w:right w:val="none" w:sz="0" w:space="0" w:color="auto"/>
          </w:divBdr>
        </w:div>
      </w:divsChild>
    </w:div>
    <w:div w:id="664281801">
      <w:bodyDiv w:val="1"/>
      <w:marLeft w:val="0"/>
      <w:marRight w:val="0"/>
      <w:marTop w:val="0"/>
      <w:marBottom w:val="0"/>
      <w:divBdr>
        <w:top w:val="none" w:sz="0" w:space="0" w:color="auto"/>
        <w:left w:val="none" w:sz="0" w:space="0" w:color="auto"/>
        <w:bottom w:val="none" w:sz="0" w:space="0" w:color="auto"/>
        <w:right w:val="none" w:sz="0" w:space="0" w:color="auto"/>
      </w:divBdr>
    </w:div>
    <w:div w:id="740909505">
      <w:bodyDiv w:val="1"/>
      <w:marLeft w:val="0"/>
      <w:marRight w:val="0"/>
      <w:marTop w:val="0"/>
      <w:marBottom w:val="0"/>
      <w:divBdr>
        <w:top w:val="none" w:sz="0" w:space="0" w:color="auto"/>
        <w:left w:val="none" w:sz="0" w:space="0" w:color="auto"/>
        <w:bottom w:val="none" w:sz="0" w:space="0" w:color="auto"/>
        <w:right w:val="none" w:sz="0" w:space="0" w:color="auto"/>
      </w:divBdr>
    </w:div>
    <w:div w:id="1257398489">
      <w:bodyDiv w:val="1"/>
      <w:marLeft w:val="0"/>
      <w:marRight w:val="0"/>
      <w:marTop w:val="0"/>
      <w:marBottom w:val="0"/>
      <w:divBdr>
        <w:top w:val="none" w:sz="0" w:space="0" w:color="auto"/>
        <w:left w:val="none" w:sz="0" w:space="0" w:color="auto"/>
        <w:bottom w:val="none" w:sz="0" w:space="0" w:color="auto"/>
        <w:right w:val="none" w:sz="0" w:space="0" w:color="auto"/>
      </w:divBdr>
      <w:divsChild>
        <w:div w:id="374086033">
          <w:marLeft w:val="965"/>
          <w:marRight w:val="0"/>
          <w:marTop w:val="100"/>
          <w:marBottom w:val="0"/>
          <w:divBdr>
            <w:top w:val="none" w:sz="0" w:space="0" w:color="auto"/>
            <w:left w:val="none" w:sz="0" w:space="0" w:color="auto"/>
            <w:bottom w:val="none" w:sz="0" w:space="0" w:color="auto"/>
            <w:right w:val="none" w:sz="0" w:space="0" w:color="auto"/>
          </w:divBdr>
        </w:div>
        <w:div w:id="1041436589">
          <w:marLeft w:val="1310"/>
          <w:marRight w:val="0"/>
          <w:marTop w:val="100"/>
          <w:marBottom w:val="0"/>
          <w:divBdr>
            <w:top w:val="none" w:sz="0" w:space="0" w:color="auto"/>
            <w:left w:val="none" w:sz="0" w:space="0" w:color="auto"/>
            <w:bottom w:val="none" w:sz="0" w:space="0" w:color="auto"/>
            <w:right w:val="none" w:sz="0" w:space="0" w:color="auto"/>
          </w:divBdr>
        </w:div>
        <w:div w:id="56590268">
          <w:marLeft w:val="965"/>
          <w:marRight w:val="0"/>
          <w:marTop w:val="100"/>
          <w:marBottom w:val="0"/>
          <w:divBdr>
            <w:top w:val="none" w:sz="0" w:space="0" w:color="auto"/>
            <w:left w:val="none" w:sz="0" w:space="0" w:color="auto"/>
            <w:bottom w:val="none" w:sz="0" w:space="0" w:color="auto"/>
            <w:right w:val="none" w:sz="0" w:space="0" w:color="auto"/>
          </w:divBdr>
        </w:div>
        <w:div w:id="22639015">
          <w:marLeft w:val="1310"/>
          <w:marRight w:val="0"/>
          <w:marTop w:val="100"/>
          <w:marBottom w:val="0"/>
          <w:divBdr>
            <w:top w:val="none" w:sz="0" w:space="0" w:color="auto"/>
            <w:left w:val="none" w:sz="0" w:space="0" w:color="auto"/>
            <w:bottom w:val="none" w:sz="0" w:space="0" w:color="auto"/>
            <w:right w:val="none" w:sz="0" w:space="0" w:color="auto"/>
          </w:divBdr>
        </w:div>
      </w:divsChild>
    </w:div>
    <w:div w:id="1313633704">
      <w:bodyDiv w:val="1"/>
      <w:marLeft w:val="0"/>
      <w:marRight w:val="0"/>
      <w:marTop w:val="0"/>
      <w:marBottom w:val="0"/>
      <w:divBdr>
        <w:top w:val="none" w:sz="0" w:space="0" w:color="auto"/>
        <w:left w:val="none" w:sz="0" w:space="0" w:color="auto"/>
        <w:bottom w:val="none" w:sz="0" w:space="0" w:color="auto"/>
        <w:right w:val="none" w:sz="0" w:space="0" w:color="auto"/>
      </w:divBdr>
    </w:div>
    <w:div w:id="1396275050">
      <w:bodyDiv w:val="1"/>
      <w:marLeft w:val="0"/>
      <w:marRight w:val="0"/>
      <w:marTop w:val="0"/>
      <w:marBottom w:val="0"/>
      <w:divBdr>
        <w:top w:val="none" w:sz="0" w:space="0" w:color="auto"/>
        <w:left w:val="none" w:sz="0" w:space="0" w:color="auto"/>
        <w:bottom w:val="none" w:sz="0" w:space="0" w:color="auto"/>
        <w:right w:val="none" w:sz="0" w:space="0" w:color="auto"/>
      </w:divBdr>
    </w:div>
    <w:div w:id="1521358947">
      <w:bodyDiv w:val="1"/>
      <w:marLeft w:val="0"/>
      <w:marRight w:val="0"/>
      <w:marTop w:val="0"/>
      <w:marBottom w:val="0"/>
      <w:divBdr>
        <w:top w:val="none" w:sz="0" w:space="0" w:color="auto"/>
        <w:left w:val="none" w:sz="0" w:space="0" w:color="auto"/>
        <w:bottom w:val="none" w:sz="0" w:space="0" w:color="auto"/>
        <w:right w:val="none" w:sz="0" w:space="0" w:color="auto"/>
      </w:divBdr>
    </w:div>
    <w:div w:id="1746342005">
      <w:bodyDiv w:val="1"/>
      <w:marLeft w:val="0"/>
      <w:marRight w:val="0"/>
      <w:marTop w:val="0"/>
      <w:marBottom w:val="0"/>
      <w:divBdr>
        <w:top w:val="none" w:sz="0" w:space="0" w:color="auto"/>
        <w:left w:val="none" w:sz="0" w:space="0" w:color="auto"/>
        <w:bottom w:val="none" w:sz="0" w:space="0" w:color="auto"/>
        <w:right w:val="none" w:sz="0" w:space="0" w:color="auto"/>
      </w:divBdr>
    </w:div>
    <w:div w:id="1809862518">
      <w:bodyDiv w:val="1"/>
      <w:marLeft w:val="0"/>
      <w:marRight w:val="0"/>
      <w:marTop w:val="0"/>
      <w:marBottom w:val="0"/>
      <w:divBdr>
        <w:top w:val="none" w:sz="0" w:space="0" w:color="auto"/>
        <w:left w:val="none" w:sz="0" w:space="0" w:color="auto"/>
        <w:bottom w:val="none" w:sz="0" w:space="0" w:color="auto"/>
        <w:right w:val="none" w:sz="0" w:space="0" w:color="auto"/>
      </w:divBdr>
    </w:div>
    <w:div w:id="1850411084">
      <w:bodyDiv w:val="1"/>
      <w:marLeft w:val="0"/>
      <w:marRight w:val="0"/>
      <w:marTop w:val="0"/>
      <w:marBottom w:val="0"/>
      <w:divBdr>
        <w:top w:val="none" w:sz="0" w:space="0" w:color="auto"/>
        <w:left w:val="none" w:sz="0" w:space="0" w:color="auto"/>
        <w:bottom w:val="none" w:sz="0" w:space="0" w:color="auto"/>
        <w:right w:val="none" w:sz="0" w:space="0" w:color="auto"/>
      </w:divBdr>
    </w:div>
    <w:div w:id="1994677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3748</TotalTime>
  <Pages>3</Pages>
  <Words>1441</Words>
  <Characters>8217</Characters>
  <Application>Microsoft Office Word</Application>
  <DocSecurity>0</DocSecurity>
  <Lines>68</Lines>
  <Paragraphs>19</Paragraphs>
  <ScaleCrop>false</ScaleCrop>
  <Company/>
  <LinksUpToDate>false</LinksUpToDate>
  <CharactersWithSpaces>9639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Yibin YB1 Zhuo</dc:creator>
  <cp:keywords/>
  <dc:description/>
  <cp:lastModifiedBy>Lenovo</cp:lastModifiedBy>
  <cp:revision>413</cp:revision>
  <dcterms:created xsi:type="dcterms:W3CDTF">2021-01-15T00:45:00Z</dcterms:created>
  <dcterms:modified xsi:type="dcterms:W3CDTF">2022-08-09T01:36:00Z</dcterms:modified>
</cp:coreProperties>
</file>